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07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775"/>
        <w:gridCol w:w="413"/>
        <w:gridCol w:w="1300"/>
        <w:gridCol w:w="1366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固定资产名称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账务入账时间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挂牌价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753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LNG加气站设备制作及安装</w:t>
            </w:r>
          </w:p>
        </w:tc>
        <w:tc>
          <w:tcPr>
            <w:tcW w:w="413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2015-06-30</w:t>
            </w:r>
          </w:p>
        </w:tc>
        <w:tc>
          <w:tcPr>
            <w:tcW w:w="136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962034.19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41A85E4F"/>
    <w:rsid w:val="328F68FE"/>
    <w:rsid w:val="41A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2023-08-29T02:23:00Z</dcterms:created>
  <dc:creator>凶宗俺杭纠</dc:creator>
  <cp:lastModifiedBy>凶宗俺杭纠</cp:lastModifiedBy>
  <dcterms:modified xsi:type="dcterms:W3CDTF">2023-08-29T02:25:00Z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071DAC635242447B8F2E4923B6FC0E20_13</vt:lpwstr>
  </property>
</Properties>
</file>