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枣庄职业学院：</w:t>
      </w:r>
    </w:p>
    <w:p w14:paraId="54E8D7BD">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方就参与</w:t>
      </w:r>
      <w:r>
        <w:rPr>
          <w:rFonts w:hint="eastAsia" w:ascii="仿宋" w:hAnsi="仿宋" w:eastAsia="仿宋" w:cs="仿宋"/>
          <w:bCs/>
          <w:sz w:val="24"/>
          <w:szCs w:val="24"/>
          <w:lang w:val="en-US" w:eastAsia="zh-CN"/>
        </w:rPr>
        <w:t>枣庄职业学院通讯营业厅三年期经营权转让项目</w:t>
      </w:r>
      <w:r>
        <w:rPr>
          <w:rFonts w:hint="eastAsia" w:ascii="仿宋" w:hAnsi="仿宋" w:eastAsia="仿宋" w:cs="仿宋"/>
          <w:bCs/>
          <w:sz w:val="24"/>
          <w:szCs w:val="24"/>
          <w:u w:val="single"/>
          <w:lang w:val="en-US" w:eastAsia="zh-CN"/>
        </w:rPr>
        <w:t xml:space="preserve">           包</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活动作</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出如下承诺：</w:t>
      </w:r>
    </w:p>
    <w:p w14:paraId="22569B3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630" w:leftChars="0"/>
        <w:jc w:val="both"/>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24"/>
          <w:szCs w:val="24"/>
          <w:u w:val="single"/>
          <w:lang w:val="en-US" w:eastAsia="zh-CN"/>
          <w14:textFill>
            <w14:solidFill>
              <w14:schemeClr w14:val="tx1">
                <w14:lumMod w14:val="95000"/>
                <w14:lumOff w14:val="5000"/>
              </w14:schemeClr>
            </w14:solidFill>
          </w14:textFill>
        </w:rPr>
        <w:t xml:space="preserve">     万</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24"/>
          <w:szCs w:val="24"/>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w:t>
      </w:r>
      <w:r>
        <w:rPr>
          <w:rFonts w:hint="eastAsia" w:ascii="仿宋" w:hAnsi="仿宋" w:eastAsia="仿宋" w:cs="仿宋"/>
          <w:color w:val="0000FF"/>
          <w:kern w:val="0"/>
          <w:sz w:val="24"/>
          <w:szCs w:val="24"/>
        </w:rPr>
        <w:t>交</w:t>
      </w:r>
      <w:r>
        <w:rPr>
          <w:rFonts w:hint="eastAsia" w:ascii="仿宋" w:hAnsi="仿宋" w:eastAsia="仿宋" w:cs="仿宋"/>
          <w:color w:val="0000FF"/>
          <w:kern w:val="0"/>
          <w:sz w:val="24"/>
          <w:szCs w:val="24"/>
          <w:lang w:eastAsia="zh-CN"/>
        </w:rPr>
        <w:t>额</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1</w:t>
      </w:r>
      <w:r>
        <w:rPr>
          <w:rFonts w:hint="eastAsia" w:ascii="仿宋" w:hAnsi="仿宋" w:eastAsia="仿宋" w:cs="仿宋"/>
          <w:color w:val="0000FF"/>
          <w:kern w:val="0"/>
          <w:sz w:val="24"/>
          <w:szCs w:val="24"/>
        </w:rPr>
        <w:t>‰收取，竞价佣金按</w:t>
      </w:r>
      <w:r>
        <w:rPr>
          <w:rFonts w:hint="eastAsia" w:ascii="仿宋" w:hAnsi="仿宋" w:eastAsia="仿宋" w:cs="仿宋"/>
          <w:color w:val="0000FF"/>
          <w:kern w:val="0"/>
          <w:sz w:val="24"/>
          <w:szCs w:val="24"/>
          <w:lang w:val="en-US" w:eastAsia="zh-CN"/>
        </w:rPr>
        <w:t>转让底价</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3</w:t>
      </w:r>
      <w:r>
        <w:rPr>
          <w:rFonts w:hint="eastAsia" w:ascii="仿宋" w:hAnsi="仿宋" w:eastAsia="仿宋" w:cs="仿宋"/>
          <w:color w:val="0000FF"/>
          <w:kern w:val="0"/>
          <w:sz w:val="24"/>
          <w:szCs w:val="24"/>
        </w:rPr>
        <w:t>%收取</w:t>
      </w:r>
      <w:r>
        <w:rPr>
          <w:rFonts w:hint="eastAsia" w:ascii="仿宋" w:hAnsi="仿宋" w:eastAsia="仿宋" w:cs="仿宋"/>
          <w:color w:val="0000FF"/>
          <w:kern w:val="0"/>
          <w:sz w:val="24"/>
          <w:szCs w:val="24"/>
          <w:lang w:eastAsia="zh-CN"/>
        </w:rPr>
        <w:t>。</w:t>
      </w:r>
    </w:p>
    <w:p w14:paraId="5075C391">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t>《资产受让网络竞价须知》</w:t>
      </w:r>
    </w:p>
    <w:p w14:paraId="74684CA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240" w:lineRule="auto"/>
        <w:ind w:firstLine="240" w:firstLineChars="1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240" w:lineRule="auto"/>
        <w:ind w:right="1098" w:rightChars="523" w:firstLine="960" w:firstLineChars="400"/>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240" w:lineRule="auto"/>
        <w:ind w:right="1098" w:rightChars="523" w:firstLine="960" w:firstLineChars="400"/>
        <w:jc w:val="righ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240" w:lineRule="auto"/>
        <w:ind w:firstLine="562"/>
        <w:jc w:val="center"/>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56233CFD">
      <w:pPr>
        <w:pStyle w:val="12"/>
        <w:spacing w:line="240" w:lineRule="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w:t>
      </w:r>
      <w:r>
        <w:rPr>
          <w:rFonts w:hint="eastAsia" w:ascii="仿宋" w:hAnsi="仿宋" w:eastAsia="仿宋" w:cs="仿宋"/>
          <w:bCs/>
          <w:sz w:val="24"/>
          <w:szCs w:val="24"/>
          <w:lang w:val="en-US" w:eastAsia="zh-CN"/>
        </w:rPr>
        <w:t>枣庄职业学院通讯营业厅三年期经营权转让项目</w:t>
      </w:r>
      <w:r>
        <w:rPr>
          <w:rFonts w:hint="eastAsia" w:ascii="仿宋" w:hAnsi="仿宋" w:eastAsia="仿宋" w:cs="仿宋"/>
          <w:bCs/>
          <w:sz w:val="24"/>
          <w:szCs w:val="24"/>
          <w:u w:val="single"/>
          <w:lang w:val="en-US" w:eastAsia="zh-CN"/>
        </w:rPr>
        <w:t xml:space="preserve">           包</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（项目编号LNGZ2025-81）《资产转让网络竞价须知》以下简称“《须知》”）依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13</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4"/>
          <w:szCs w:val="24"/>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4"/>
          <w:szCs w:val="24"/>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挂牌价。</w:t>
      </w:r>
    </w:p>
    <w:p w14:paraId="10B7D6C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按转让方要求进行标的图片、文字或实物展示。</w:t>
      </w:r>
    </w:p>
    <w:p w14:paraId="7CD2DF71">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重大事项及其他披露内容：1、本次通讯营业厅房屋拍租只限学校新城校区，住校生约14000人。因学生实习等因素，住校生人数会发生变化。学校不保证在通讯营业厅消费人数，因人数变化产生的销售额变化与学校无关，承租者自负盈亏。学校此次房屋拍租仅限学校目前现状，因学校未来的规划发展及学生数量变化而引起经营情况发生改变，承租方不得以任何理由向学校提出任何异议。</w:t>
      </w:r>
    </w:p>
    <w:p w14:paraId="3800F3B6">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学校新城校区移动、联通、电信营业厅位于学校校内服务楼一楼东侧，标的1：营业室南1房屋面积约为28平方米，仅供经营中国电信业务，电信营业厅使用；标的2：营业室南2房屋面积约为18.02平方米，仅供经营中国联通业务，联通营业厅使用；标的3：营业室南3房屋面积约为18.02平方米，仅供经营中国移动业务，移动营业厅使用。标的物以实物现状为准，意向承租方请亲自实地看样，勘察标的物时间：以枣庄市公共资源国有产权交易有限公司通知为准,过期不候。未查看标的竞买人视为对本标的实物现状确认，责任自负。</w:t>
      </w:r>
    </w:p>
    <w:p w14:paraId="50703255">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学校安装水、电表，承租方有偿使用水、电，每月统计一次，每学期按供水、供电部门有关规定据实收费，收费标准按照上级有关部门相关规定执行。若承租方不按时缴纳水电费,承租方需按照供水、供电部门有关规定缴纳滞纳金及违约金，并在缴纳滞纳金及违约金的基础上，甲方有权从履约保证金中按滞纳金及违约金3倍进行处罚。资产清单详见资产评估报告书（枣中实评报字〔2025〕第040号）。4、标的查看联系人：高女士，联系电话：0632-8836876。本次处置标的不提供增值税发票，由财政部门开具非税票据。</w:t>
      </w:r>
    </w:p>
    <w:p w14:paraId="6092CCE7">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受让方资格条件：（一）企业资质</w:t>
      </w:r>
    </w:p>
    <w:p w14:paraId="22CAF395">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承租方为中华人民共和国境内依法注册的企业法人、个体工商户，具有独立承担民事责任的能力，应具备有效的营业执照和税务登记，营业执照的经营范围需要具备手机终端、配件及其它相关电子产品的销售资质。</w:t>
      </w:r>
    </w:p>
    <w:p w14:paraId="38076FFB">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2、依法取得通信业务资质的企业(指中国移动、中国联通、中国电信等基础通信运营企业)或其分支机构，或是取得上述企业书面授权进行业务代理的企业及机构。</w:t>
      </w:r>
    </w:p>
    <w:p w14:paraId="5EB4973F">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（二）资信认证</w:t>
      </w:r>
    </w:p>
    <w:p w14:paraId="79033F7A">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经营状况应当良好，没有处于被责令停业、被取消资格、财产被接管、冻结、破产状态，国家企业信用信息公示 系统中未列入经营异常名录、未列入严重违法失信企业名单（黑名单）信息。具有开具零售发票的能力。在业内没有不良声誉。被信用中国网站(www.creditchina.gov.cn)、中国政府采购网(www.ccgp.gov.cn)、信用山东(www.creditsd.gov.cn)网站列为失信被执行人、重大税收违法案件当事人名单、政府采购严重违法失信行为记录名单的供应商不得参与本次竞拍。</w:t>
      </w:r>
    </w:p>
    <w:p w14:paraId="2F722F6B">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（三）管理能力</w:t>
      </w:r>
    </w:p>
    <w:p w14:paraId="67C414CD">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有稳定的团队，有规范的企业管理制度和经验。</w:t>
      </w:r>
    </w:p>
    <w:p w14:paraId="710405C5">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（四）服务能力</w:t>
      </w:r>
    </w:p>
    <w:p w14:paraId="32EB0B25">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具有不低于5年以上的校园通信市场运营、服务经验，能够服从院校要求，积极配合院校工作，为师生提供优质服务。在学校重大活动及特殊时段(如疫情期间)能够提供7×24小时驻店服务，满足学校通信保障需求；承租方应向客户提供合法的发票和符合国家标准的终端产品。</w:t>
      </w:r>
    </w:p>
    <w:p w14:paraId="5182242D">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（五）防疫能力</w:t>
      </w:r>
    </w:p>
    <w:p w14:paraId="5B858BA6">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服从学校防疫要求，严格落实相关措施，具有充足的资金和物资保障。有成熟的疫情防控实施方案和学校防疫工作经验。</w:t>
      </w:r>
    </w:p>
    <w:p w14:paraId="79FD8BD8">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本次拍租不接受供应商以联合体形式报价。</w:t>
      </w:r>
    </w:p>
    <w:p w14:paraId="1457B4DF">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七、1、枣庄职业学院（以下简称：甲方）向承租方（以下简称：乙方）一次性收取3年租金。经评估租金市场基准价值电信营业厅南1为47610.00元/3年，联通营业厅南2为41400.00元/3年，移动营业厅南3为41400.00元/3年。</w:t>
      </w:r>
    </w:p>
    <w:p w14:paraId="660F2946">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2、乙方承租的房屋仅作为通讯营业厅，为学校师生办理通讯业务使用。不得扩大业务范围，增加经营项目。</w:t>
      </w:r>
    </w:p>
    <w:p w14:paraId="6309D314">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乙方在经营期间，对房屋改造装修必须以书面形式征得甲方同意后方可进行。合同到期后若不再续签，或者合同提前终止、解除的，乙方应于本房屋租赁合同期满或解除后7个工作日内，无条件撤离所租用场所并将门锁钥匙交给甲方。乙方投资的设施设备等在不损坏甲方设施的情况下，7个工作日内自行拆除撤离，甲方不承担任何费用。乙方对房屋的改造装修等不便于拆除或已形成附合的项目无偿归甲方所有，乙方不得拆除。</w:t>
      </w:r>
    </w:p>
    <w:p w14:paraId="63AB6BA1">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4、乙方承租期内必须遵守相关的国家法律、法规。不得利用甲方的名义注册登记和在外签订任何形式的合同、协议等，严禁转包、转租和转让经营，违反以上规定甲方有权解除合同，造成的后果由乙方承担全部法律责任与经济损失。</w:t>
      </w:r>
    </w:p>
    <w:p w14:paraId="29F87DE5">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5、乙方须做好防火、防盗等安全工作，严格遵守《消防法》及甲方关于消防工作的相关规定，加强消防设施的配置和使用培训，消防设施的维护费用由乙方承担。</w:t>
      </w:r>
    </w:p>
    <w:p w14:paraId="21075EC1">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6、合同期内，租赁房屋及所属设施的维修责任由乙方负责；乙方应保证租赁房屋的完整性，不得改变租赁房屋的结构和用途。</w:t>
      </w:r>
    </w:p>
    <w:p w14:paraId="51FD7E93">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7、甲方有权按照国家相关法律法规及学校的相关规定对乙方经营进行监督检查；若乙方有违反相关法律法规行为甲方</w:t>
      </w:r>
      <w:r>
        <w:rPr>
          <w:rFonts w:hint="eastAsia" w:ascii="仿宋" w:hAnsi="仿宋" w:eastAsia="仿宋" w:cs="仿宋"/>
          <w:color w:val="0D0D0D" w:themeColor="text1" w:themeTint="F2"/>
          <w:kern w:val="0"/>
          <w:sz w:val="24"/>
          <w:szCs w:val="24"/>
          <w:lang w:val="en-US" w:eastAsia="zh-Hans"/>
          <w14:textFill>
            <w14:solidFill>
              <w14:schemeClr w14:val="tx1">
                <w14:lumMod w14:val="95000"/>
                <w14:lumOff w14:val="5000"/>
              </w14:schemeClr>
            </w14:solidFill>
          </w14:textFill>
        </w:rPr>
        <w:t>有权要求</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乙方限期整改或按约定对乙方进行处罚；</w:t>
      </w:r>
      <w:r>
        <w:rPr>
          <w:rFonts w:hint="eastAsia" w:ascii="仿宋" w:hAnsi="仿宋" w:eastAsia="仿宋" w:cs="仿宋"/>
          <w:color w:val="0D0D0D" w:themeColor="text1" w:themeTint="F2"/>
          <w:kern w:val="0"/>
          <w:sz w:val="24"/>
          <w:szCs w:val="24"/>
          <w:lang w:val="en-US" w:eastAsia="zh-Hans"/>
          <w14:textFill>
            <w14:solidFill>
              <w14:schemeClr w14:val="tx1">
                <w14:lumMod w14:val="95000"/>
                <w14:lumOff w14:val="5000"/>
              </w14:schemeClr>
            </w14:solidFill>
          </w14:textFill>
        </w:rPr>
        <w:t>如乙方未按要求整改的，甲方有权解除合同。</w:t>
      </w:r>
    </w:p>
    <w:p w14:paraId="465BB9A0">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8、乙方工作人员必须进行肺结核及传染病源健康体检，并提供有效的健康体检证明方可上岗。</w:t>
      </w:r>
    </w:p>
    <w:p w14:paraId="431F716D">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9、乙方在经营期间，要主动配合甲方接受有关管理监督部门及学校的工作检查。</w:t>
      </w:r>
    </w:p>
    <w:p w14:paraId="231FCE44">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10、乙方对甲方提出的合理意见和建议，要在5个工作日内整改。如违反上述规定，甲方按管理规定给予乙方经济处罚并责令限期整改。</w:t>
      </w:r>
    </w:p>
    <w:p w14:paraId="4B6D460E">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11、若乙方违反国家相关法律法规对甲方造成不良社会影响或后果，由乙方承担一切责任，甲方有权解除合同，乙方按照甲方规定无条件撤场，所有费用及责任均由乙方承担，甲方不承担任何责任。</w:t>
      </w:r>
    </w:p>
    <w:p w14:paraId="516C1347">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12、乙方负责管理、使用甲方提供的设施、设备。维修、保养费用由乙方承担。</w:t>
      </w:r>
    </w:p>
    <w:p w14:paraId="684EAAD6">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13、乙方负责保持店内、门前整洁卫生，自觉接受甲方的卫生检查。</w:t>
      </w:r>
    </w:p>
    <w:p w14:paraId="018FE5E5">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14、乙方应加强员工管理。加强员工的思想教育、职业道德教育，加强服务意识和服务形象培训，虚心听取学生代表及职能部门意见，及时整改存在的问题，为师生提供优质服务，师生满意度应达到85%及以上。教育员工遵守安全操作规程，合同期内乙方员工在承租房屋内因乙方原因出现人身安全、财产损失等事故，由乙方承担全部责任。若发生冲突事件，乙方应解除与涉事职工的劳动关系，甲方视情况轻重给予乙方经济处罚；若冲突事件通过微信、微博等信息平台传播给甲方造成不良影响或后果，乙方按照甲方规定无条件撤场，所有费用及责任均由乙方承担，甲方不承担任何责任。</w:t>
      </w:r>
    </w:p>
    <w:p w14:paraId="31BB3D34">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15、乙方要认真贯彻国家、省、市及学校疫情防控常态化要求，保持有效防控机制，扎实有效做好疫情防控常态化工作。</w:t>
      </w:r>
    </w:p>
    <w:p w14:paraId="50E4F20B">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16、合同期内，因上级政策或无法抗拒的原因需收回本合同约定房屋并终止合同，甲方提前一个月通知乙方，并退回剩余房屋租赁费（不含枣庄市公共资源国有产权交易有限公司一次性扣除承租年限的佣金），合同自然终止，双方均不承担违约责任。乙方须按照甲方规定在7个工作日内无条件撤场，且甲方不承担任何责任。</w:t>
      </w:r>
    </w:p>
    <w:p w14:paraId="20CA03AE">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17、乙方有以下行为之一的，甲方有权解除合同，乙方按照甲方规定无条件撤场，所有费用及责任均由乙方承担，并按照合同租金的20%向甲方支付违约金，甲方不承担任何责任。</w:t>
      </w:r>
    </w:p>
    <w:p w14:paraId="760B04B6">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（1）未经甲方书面同意，转租、转借承租房屋。</w:t>
      </w:r>
    </w:p>
    <w:p w14:paraId="173BEDA6">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（2）未经甲方书面同意，拆改变动房屋结构。</w:t>
      </w:r>
    </w:p>
    <w:p w14:paraId="47C434B0">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（3）损坏承租房屋，在甲方提出的合理期限内仍未修复的。</w:t>
      </w:r>
    </w:p>
    <w:p w14:paraId="1E51B21F">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（4）未经甲方书面同意，改变本合同约定的房屋租赁用途。</w:t>
      </w:r>
    </w:p>
    <w:p w14:paraId="01DCB3C1">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（5）利用承租屋存放危险物品或进行违法活动。</w:t>
      </w:r>
    </w:p>
    <w:p w14:paraId="1B74A4F4">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（6）逾期未交纳按约定应当由乙方交纳的各项费用，给甲方造成严重损害的。</w:t>
      </w:r>
    </w:p>
    <w:p w14:paraId="31F3B84F">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八、成交后受让方如出现违约按交易保证金金额承担赔偿责任，保证金金额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2"/>
          <w:szCs w:val="22"/>
          <w:lang w:val="en-US" w:eastAsia="zh-CN"/>
        </w:rPr>
      </w:pP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43431B8">
      <w:pPr>
        <w:pStyle w:val="1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07C4EF5D">
      <w:pPr>
        <w:pStyle w:val="1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110735B9">
      <w:pPr>
        <w:pStyle w:val="1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9E757DB">
      <w:pPr>
        <w:pStyle w:val="1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仿宋" w:hAnsi="仿宋" w:eastAsia="仿宋" w:cs="仿宋"/>
          <w:color w:val="4472C4" w:themeColor="accent5"/>
          <w:kern w:val="0"/>
          <w:sz w:val="24"/>
          <w:szCs w:val="24"/>
          <w14:textFill>
            <w14:solidFill>
              <w14:schemeClr w14:val="accent5"/>
            </w14:solidFill>
          </w14:textFill>
        </w:rPr>
      </w:pPr>
      <w:r>
        <w:rPr>
          <w:rFonts w:hint="eastAsia" w:ascii="仿宋" w:hAnsi="仿宋" w:eastAsia="仿宋" w:cs="仿宋"/>
          <w:color w:val="4472C4" w:themeColor="accent5"/>
          <w:kern w:val="0"/>
          <w:sz w:val="24"/>
          <w:szCs w:val="24"/>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4"/>
          <w:szCs w:val="24"/>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4"/>
          <w:szCs w:val="24"/>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default" w:ascii="仿宋" w:hAnsi="仿宋" w:eastAsia="仿宋" w:cs="仿宋"/>
          <w:color w:val="4472C4" w:themeColor="accent5"/>
          <w:kern w:val="0"/>
          <w:sz w:val="24"/>
          <w:szCs w:val="24"/>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4"/>
          <w:szCs w:val="24"/>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eastAsia" w:ascii="仿宋" w:hAnsi="仿宋" w:eastAsia="仿宋" w:cs="仿宋"/>
          <w:color w:val="4472C4" w:themeColor="accent5"/>
          <w:kern w:val="0"/>
          <w:sz w:val="24"/>
          <w:szCs w:val="24"/>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4"/>
          <w:szCs w:val="24"/>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4"/>
          <w:szCs w:val="24"/>
          <w:lang w:eastAsia="zh-CN"/>
          <w14:textFill>
            <w14:solidFill>
              <w14:schemeClr w14:val="accent5"/>
            </w14:solidFill>
          </w14:textFill>
        </w:rPr>
        <w:t>，</w:t>
      </w:r>
      <w:r>
        <w:rPr>
          <w:rFonts w:hint="eastAsia" w:ascii="仿宋" w:hAnsi="仿宋" w:eastAsia="仿宋" w:cs="仿宋"/>
          <w:color w:val="4472C4" w:themeColor="accent5"/>
          <w:kern w:val="0"/>
          <w:sz w:val="24"/>
          <w:szCs w:val="24"/>
          <w:lang w:val="en-US" w:eastAsia="zh-CN"/>
          <w14:textFill>
            <w14:solidFill>
              <w14:schemeClr w14:val="accent5"/>
            </w14:solidFill>
          </w14:textFill>
        </w:rPr>
        <w:t>本公司</w:t>
      </w:r>
      <w:r>
        <w:rPr>
          <w:rFonts w:hint="eastAsia" w:ascii="仿宋" w:hAnsi="仿宋" w:eastAsia="仿宋" w:cs="仿宋"/>
          <w:color w:val="4472C4" w:themeColor="accent5"/>
          <w:kern w:val="0"/>
          <w:sz w:val="24"/>
          <w:szCs w:val="24"/>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240" w:lineRule="auto"/>
        <w:ind w:right="-187" w:rightChars="-89"/>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240" w:lineRule="auto"/>
        <w:ind w:left="596" w:leftChars="284" w:right="-187" w:rightChars="-89" w:firstLine="0" w:firstLineChars="0"/>
        <w:jc w:val="center"/>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center"/>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0701F7AB">
      <w:pPr>
        <w:spacing w:line="240" w:lineRule="auto"/>
        <w:jc w:val="both"/>
        <w:rPr>
          <w:rFonts w:hint="eastAsia"/>
          <w:b/>
          <w:sz w:val="36"/>
          <w:szCs w:val="36"/>
        </w:rPr>
      </w:pPr>
    </w:p>
    <w:p w14:paraId="2ABE137C">
      <w:pPr>
        <w:spacing w:line="240" w:lineRule="auto"/>
        <w:ind w:firstLine="1807" w:firstLineChars="500"/>
        <w:jc w:val="both"/>
        <w:rPr>
          <w:rFonts w:hint="eastAsia"/>
          <w:b/>
          <w:sz w:val="36"/>
          <w:szCs w:val="36"/>
        </w:rPr>
      </w:pPr>
    </w:p>
    <w:p w14:paraId="634A4E04">
      <w:pPr>
        <w:spacing w:line="240" w:lineRule="auto"/>
        <w:ind w:firstLine="1807" w:firstLineChars="500"/>
        <w:jc w:val="both"/>
        <w:rPr>
          <w:rFonts w:hint="eastAsia"/>
          <w:b/>
          <w:sz w:val="36"/>
          <w:szCs w:val="36"/>
        </w:rPr>
      </w:pPr>
    </w:p>
    <w:p w14:paraId="6716988E">
      <w:pPr>
        <w:pStyle w:val="12"/>
        <w:spacing w:line="240" w:lineRule="auto"/>
        <w:rPr>
          <w:rFonts w:hint="eastAsia"/>
          <w:b/>
          <w:sz w:val="36"/>
          <w:szCs w:val="36"/>
        </w:rPr>
      </w:pPr>
    </w:p>
    <w:p w14:paraId="0B0525C8">
      <w:pPr>
        <w:pStyle w:val="12"/>
        <w:spacing w:line="240" w:lineRule="auto"/>
        <w:rPr>
          <w:rFonts w:hint="eastAsia"/>
          <w:b/>
          <w:sz w:val="36"/>
          <w:szCs w:val="36"/>
        </w:rPr>
      </w:pPr>
    </w:p>
    <w:p w14:paraId="0995BF12">
      <w:pPr>
        <w:spacing w:line="240" w:lineRule="auto"/>
        <w:jc w:val="both"/>
        <w:rPr>
          <w:rFonts w:hint="eastAsia"/>
          <w:b/>
          <w:sz w:val="36"/>
          <w:szCs w:val="36"/>
        </w:rPr>
      </w:pPr>
    </w:p>
    <w:p w14:paraId="15C3FA96">
      <w:pPr>
        <w:spacing w:line="240" w:lineRule="auto"/>
        <w:ind w:firstLine="1807" w:firstLineChars="500"/>
        <w:jc w:val="both"/>
        <w:rPr>
          <w:rFonts w:hint="eastAsia"/>
          <w:b/>
          <w:sz w:val="36"/>
          <w:szCs w:val="36"/>
        </w:rPr>
      </w:pPr>
    </w:p>
    <w:p w14:paraId="5FF2E9D6">
      <w:pPr>
        <w:spacing w:line="240" w:lineRule="auto"/>
        <w:ind w:firstLine="1807" w:firstLineChars="500"/>
        <w:jc w:val="both"/>
        <w:rPr>
          <w:rFonts w:hint="eastAsia" w:ascii="宋体" w:hAnsi="宋体"/>
          <w:sz w:val="36"/>
          <w:szCs w:val="36"/>
        </w:rPr>
      </w:pPr>
      <w:r>
        <w:rPr>
          <w:rFonts w:hint="eastAsia"/>
          <w:b/>
          <w:sz w:val="36"/>
          <w:szCs w:val="36"/>
        </w:rPr>
        <w:t>现场踏勘</w:t>
      </w:r>
      <w:r>
        <w:rPr>
          <w:b/>
          <w:sz w:val="36"/>
          <w:szCs w:val="36"/>
        </w:rPr>
        <w:t>确认书</w:t>
      </w:r>
    </w:p>
    <w:p w14:paraId="58D54CD3">
      <w:pPr>
        <w:spacing w:line="240" w:lineRule="auto"/>
        <w:ind w:firstLine="440" w:firstLineChars="200"/>
        <w:rPr>
          <w:rFonts w:hint="eastAsia" w:ascii="宋体" w:hAnsi="宋体" w:eastAsia="宋体" w:cs="Times New Roman"/>
          <w:bCs/>
          <w:sz w:val="22"/>
          <w:szCs w:val="20"/>
          <w:lang w:val="en-US" w:eastAsia="zh-CN"/>
        </w:rPr>
      </w:pPr>
    </w:p>
    <w:p w14:paraId="3707BCE7">
      <w:pPr>
        <w:spacing w:line="24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枣庄市公共资源国有产权交易有限公司：</w:t>
      </w:r>
    </w:p>
    <w:p w14:paraId="793555A6">
      <w:pPr>
        <w:spacing w:line="24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就</w:t>
      </w:r>
      <w:r>
        <w:rPr>
          <w:rFonts w:hint="eastAsia" w:ascii="仿宋" w:hAnsi="仿宋" w:eastAsia="仿宋" w:cs="仿宋"/>
          <w:bCs/>
          <w:sz w:val="24"/>
          <w:szCs w:val="24"/>
          <w:lang w:val="en-US" w:eastAsia="zh-CN"/>
        </w:rPr>
        <w:t>枣庄职业学院通讯营业厅三年期经营权转让项目</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包一事，本公司（本人）已前往现场进行实地勘察。</w:t>
      </w:r>
    </w:p>
    <w:p w14:paraId="1D0C7A43">
      <w:pPr>
        <w:spacing w:line="24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经勘察，本公司（本人）确认如下：</w:t>
      </w:r>
    </w:p>
    <w:p w14:paraId="707F17D8">
      <w:pPr>
        <w:spacing w:line="24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一、本公司（本人）对本次资产实际转让范围和内容及相对应的实物已进行了核对且并确认无误；对所有转让标的的范围、现状、瑕疵、地理位置以及周边环境等各种情况均已经充分了解。</w:t>
      </w:r>
    </w:p>
    <w:p w14:paraId="5D17A066">
      <w:pPr>
        <w:spacing w:line="24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240" w:lineRule="auto"/>
        <w:ind w:firstLine="480" w:firstLineChars="200"/>
        <w:rPr>
          <w:rFonts w:hint="eastAsia" w:ascii="仿宋" w:hAnsi="仿宋" w:eastAsia="仿宋" w:cs="仿宋"/>
          <w:bCs/>
          <w:sz w:val="24"/>
          <w:szCs w:val="24"/>
          <w:lang w:val="en-US" w:eastAsia="zh-CN"/>
        </w:rPr>
      </w:pPr>
    </w:p>
    <w:p w14:paraId="6B51220D">
      <w:pPr>
        <w:spacing w:line="240" w:lineRule="auto"/>
        <w:ind w:firstLine="480" w:firstLineChars="200"/>
        <w:rPr>
          <w:rFonts w:hint="eastAsia" w:ascii="仿宋" w:hAnsi="仿宋" w:eastAsia="仿宋" w:cs="仿宋"/>
          <w:bCs/>
          <w:sz w:val="24"/>
          <w:szCs w:val="24"/>
          <w:lang w:val="en-US" w:eastAsia="zh-CN"/>
        </w:rPr>
      </w:pPr>
    </w:p>
    <w:p w14:paraId="1834929B">
      <w:pPr>
        <w:spacing w:line="240" w:lineRule="auto"/>
        <w:ind w:firstLine="480" w:firstLineChars="200"/>
        <w:rPr>
          <w:rFonts w:hint="eastAsia" w:ascii="仿宋" w:hAnsi="仿宋" w:eastAsia="仿宋" w:cs="仿宋"/>
          <w:bCs/>
          <w:sz w:val="24"/>
          <w:szCs w:val="24"/>
          <w:lang w:val="en-US" w:eastAsia="zh-CN"/>
        </w:rPr>
      </w:pPr>
    </w:p>
    <w:p w14:paraId="42615C84">
      <w:pPr>
        <w:spacing w:line="240" w:lineRule="auto"/>
        <w:ind w:firstLine="480" w:firstLineChars="200"/>
        <w:rPr>
          <w:rFonts w:hint="eastAsia" w:ascii="仿宋" w:hAnsi="仿宋" w:eastAsia="仿宋" w:cs="仿宋"/>
          <w:bCs/>
          <w:sz w:val="24"/>
          <w:szCs w:val="24"/>
          <w:lang w:val="en-US" w:eastAsia="zh-CN"/>
        </w:rPr>
      </w:pPr>
    </w:p>
    <w:p w14:paraId="13E7FC34">
      <w:pPr>
        <w:spacing w:line="240" w:lineRule="auto"/>
        <w:ind w:firstLine="480" w:firstLineChars="200"/>
        <w:rPr>
          <w:rFonts w:hint="eastAsia" w:ascii="仿宋" w:hAnsi="仿宋" w:eastAsia="仿宋" w:cs="仿宋"/>
          <w:bCs/>
          <w:sz w:val="24"/>
          <w:szCs w:val="24"/>
          <w:lang w:val="en-US" w:eastAsia="zh-CN"/>
        </w:rPr>
      </w:pPr>
    </w:p>
    <w:p w14:paraId="479116ED">
      <w:pPr>
        <w:spacing w:line="24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意向受让方（踏勘人）（盖章）：                </w:t>
      </w:r>
    </w:p>
    <w:p w14:paraId="332D4691">
      <w:pPr>
        <w:spacing w:line="24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授权代表人（签字）：     </w:t>
      </w:r>
    </w:p>
    <w:p w14:paraId="51C4E351">
      <w:pPr>
        <w:spacing w:line="24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年    月    日       </w:t>
      </w:r>
    </w:p>
    <w:p w14:paraId="4EA557DE">
      <w:pPr>
        <w:pStyle w:val="12"/>
        <w:spacing w:line="240" w:lineRule="auto"/>
        <w:rPr>
          <w:rFonts w:hint="eastAsia" w:ascii="宋体" w:hAnsi="宋体"/>
          <w:bCs/>
          <w:sz w:val="22"/>
          <w:szCs w:val="15"/>
        </w:rPr>
      </w:pPr>
    </w:p>
    <w:p w14:paraId="00BC00F7">
      <w:pPr>
        <w:pStyle w:val="12"/>
        <w:spacing w:line="240" w:lineRule="auto"/>
        <w:rPr>
          <w:rFonts w:hint="eastAsia" w:ascii="宋体" w:hAnsi="宋体"/>
          <w:bCs/>
          <w:sz w:val="22"/>
          <w:szCs w:val="15"/>
        </w:rPr>
      </w:pPr>
    </w:p>
    <w:p w14:paraId="4D127FD3">
      <w:pPr>
        <w:spacing w:line="240" w:lineRule="auto"/>
        <w:rPr>
          <w:rFonts w:hint="eastAsia"/>
          <w:b/>
          <w:bCs/>
          <w:sz w:val="36"/>
          <w:szCs w:val="36"/>
          <w:lang w:val="en-US" w:eastAsia="zh-CN"/>
        </w:rPr>
      </w:pPr>
    </w:p>
    <w:p w14:paraId="32F24916">
      <w:pPr>
        <w:spacing w:line="240" w:lineRule="auto"/>
        <w:ind w:firstLine="2168" w:firstLineChars="600"/>
        <w:rPr>
          <w:rFonts w:hint="eastAsia"/>
          <w:b/>
          <w:bCs/>
          <w:sz w:val="36"/>
          <w:szCs w:val="36"/>
          <w:lang w:val="en-US" w:eastAsia="zh-CN"/>
        </w:rPr>
      </w:pPr>
      <w:r>
        <w:rPr>
          <w:rFonts w:hint="eastAsia"/>
          <w:b/>
          <w:bCs/>
          <w:sz w:val="36"/>
          <w:szCs w:val="36"/>
          <w:lang w:val="en-US" w:eastAsia="zh-CN"/>
        </w:rPr>
        <w:t>保证金退款申请</w:t>
      </w:r>
    </w:p>
    <w:p w14:paraId="29E58A0A">
      <w:pPr>
        <w:spacing w:line="240" w:lineRule="auto"/>
        <w:ind w:firstLine="1680" w:firstLineChars="600"/>
        <w:rPr>
          <w:rFonts w:hint="eastAsia"/>
          <w:sz w:val="28"/>
          <w:szCs w:val="28"/>
          <w:lang w:val="en-US" w:eastAsia="zh-CN"/>
        </w:rPr>
      </w:pPr>
      <w:r>
        <w:rPr>
          <w:rFonts w:hint="eastAsia"/>
          <w:sz w:val="28"/>
          <w:szCs w:val="28"/>
          <w:lang w:val="en-US" w:eastAsia="zh-CN"/>
        </w:rPr>
        <w:t>项目名称：</w:t>
      </w:r>
      <w:r>
        <w:rPr>
          <w:rFonts w:hint="eastAsia"/>
          <w:sz w:val="28"/>
          <w:szCs w:val="28"/>
          <w:lang w:val="en-US" w:eastAsia="zh-CN"/>
        </w:rPr>
        <w:t>枣庄职业学院新城校区与台儿庄古城校区超市经营权转让项目-台儿庄古城校区一年超市经营权B包</w:t>
      </w:r>
      <w:r>
        <w:rPr>
          <w:rFonts w:hint="eastAsia"/>
          <w:sz w:val="28"/>
          <w:szCs w:val="28"/>
          <w:lang w:val="en-US" w:eastAsia="zh-CN"/>
        </w:rPr>
        <w:t>本人参</w:t>
      </w:r>
      <w:r>
        <w:rPr>
          <w:rFonts w:hint="eastAsia"/>
          <w:sz w:val="28"/>
          <w:szCs w:val="28"/>
          <w:lang w:val="en-US" w:eastAsia="zh-CN"/>
        </w:rPr>
        <w:t>与竞价，未最终受让成功。现申请原路退还未成交保证金。</w:t>
      </w:r>
    </w:p>
    <w:p w14:paraId="64CA1C50">
      <w:pPr>
        <w:spacing w:line="240" w:lineRule="auto"/>
        <w:ind w:firstLine="4200" w:firstLineChars="1500"/>
        <w:rPr>
          <w:rFonts w:hint="eastAsia"/>
          <w:sz w:val="28"/>
          <w:szCs w:val="28"/>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240" w:lineRule="auto"/>
        <w:ind w:right="-187" w:rightChars="-89" w:firstLine="560" w:firstLineChars="200"/>
        <w:jc w:val="left"/>
        <w:textAlignment w:val="auto"/>
        <w:rPr>
          <w:rFonts w:hint="eastAsia"/>
          <w:sz w:val="28"/>
          <w:szCs w:val="28"/>
          <w:lang w:val="en-US" w:eastAsia="zh-CN"/>
        </w:rPr>
      </w:pPr>
      <w:r>
        <w:rPr>
          <w:rFonts w:hint="eastAsia"/>
          <w:sz w:val="28"/>
          <w:szCs w:val="28"/>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240" w:lineRule="auto"/>
        <w:ind w:right="-187" w:rightChars="-89" w:firstLine="2400" w:firstLineChars="10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3640" w:firstLineChars="1300"/>
        <w:jc w:val="left"/>
        <w:rPr>
          <w:rFonts w:hint="eastAsia"/>
          <w:sz w:val="28"/>
          <w:szCs w:val="28"/>
          <w:lang w:val="en-US" w:eastAsia="zh-CN"/>
        </w:rPr>
      </w:pPr>
      <w:r>
        <w:rPr>
          <w:rFonts w:hint="eastAsia"/>
          <w:sz w:val="28"/>
          <w:szCs w:val="28"/>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3360" w:firstLineChars="1200"/>
        <w:jc w:val="left"/>
        <w:rPr>
          <w:rStyle w:val="14"/>
          <w:rFonts w:hint="eastAsia" w:ascii="黑体" w:hAnsi="黑体" w:eastAsia="黑体" w:cs="黑体"/>
          <w:b/>
          <w:bCs/>
          <w:sz w:val="44"/>
          <w:szCs w:val="44"/>
        </w:rPr>
      </w:pPr>
      <w:r>
        <w:rPr>
          <w:rFonts w:hint="eastAsia"/>
          <w:sz w:val="28"/>
          <w:szCs w:val="28"/>
          <w:lang w:val="en-US" w:eastAsia="zh-CN"/>
        </w:rPr>
        <w:t xml:space="preserve">证件号码：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44D66F60">
      <w:pPr>
        <w:pStyle w:val="12"/>
        <w:spacing w:line="240" w:lineRule="auto"/>
        <w:rPr>
          <w:rStyle w:val="14"/>
          <w:rFonts w:hint="eastAsia" w:ascii="黑体" w:hAnsi="黑体" w:eastAsia="黑体" w:cs="黑体"/>
          <w:b/>
          <w:bCs/>
          <w:sz w:val="44"/>
          <w:szCs w:val="44"/>
        </w:rPr>
      </w:pPr>
    </w:p>
    <w:p w14:paraId="352989E8">
      <w:pPr>
        <w:pStyle w:val="12"/>
        <w:spacing w:line="240" w:lineRule="auto"/>
        <w:rPr>
          <w:rStyle w:val="14"/>
          <w:rFonts w:hint="eastAsia" w:ascii="黑体" w:hAnsi="黑体" w:eastAsia="黑体" w:cs="黑体"/>
          <w:b/>
          <w:bCs/>
          <w:sz w:val="44"/>
          <w:szCs w:val="44"/>
        </w:rPr>
      </w:pPr>
    </w:p>
    <w:p w14:paraId="023BABFD">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咨</w:t>
      </w:r>
    </w:p>
    <w:p w14:paraId="3669B14E">
      <w:pPr>
        <w:snapToGrid w:val="0"/>
        <w:spacing w:line="240" w:lineRule="auto"/>
        <w:jc w:val="center"/>
        <w:rPr>
          <w:rStyle w:val="14"/>
          <w:rFonts w:ascii="黑体" w:hAnsi="黑体" w:eastAsia="黑体" w:cs="黑体"/>
          <w:b/>
          <w:bCs/>
          <w:sz w:val="44"/>
          <w:szCs w:val="44"/>
        </w:rPr>
      </w:pPr>
    </w:p>
    <w:p w14:paraId="66135DA4">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询</w:t>
      </w:r>
    </w:p>
    <w:p w14:paraId="2BC2B6F3">
      <w:pPr>
        <w:snapToGrid w:val="0"/>
        <w:spacing w:line="240" w:lineRule="auto"/>
        <w:jc w:val="center"/>
        <w:rPr>
          <w:rStyle w:val="14"/>
          <w:rFonts w:ascii="黑体" w:hAnsi="黑体" w:eastAsia="黑体" w:cs="黑体"/>
          <w:b/>
          <w:bCs/>
          <w:sz w:val="44"/>
          <w:szCs w:val="44"/>
        </w:rPr>
      </w:pPr>
    </w:p>
    <w:p w14:paraId="713641EA">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服</w:t>
      </w:r>
    </w:p>
    <w:p w14:paraId="00828A56">
      <w:pPr>
        <w:snapToGrid w:val="0"/>
        <w:spacing w:line="240" w:lineRule="auto"/>
        <w:jc w:val="center"/>
        <w:rPr>
          <w:rStyle w:val="14"/>
          <w:rFonts w:ascii="黑体" w:hAnsi="黑体" w:eastAsia="黑体" w:cs="黑体"/>
          <w:b/>
          <w:bCs/>
          <w:sz w:val="44"/>
          <w:szCs w:val="44"/>
        </w:rPr>
      </w:pPr>
    </w:p>
    <w:p w14:paraId="466DED7C">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务</w:t>
      </w:r>
    </w:p>
    <w:p w14:paraId="5726E7ED">
      <w:pPr>
        <w:snapToGrid w:val="0"/>
        <w:spacing w:line="240" w:lineRule="auto"/>
        <w:jc w:val="center"/>
        <w:rPr>
          <w:rStyle w:val="14"/>
          <w:rFonts w:ascii="黑体" w:hAnsi="黑体" w:eastAsia="黑体" w:cs="黑体"/>
          <w:b/>
          <w:bCs/>
          <w:sz w:val="44"/>
          <w:szCs w:val="44"/>
        </w:rPr>
      </w:pPr>
    </w:p>
    <w:p w14:paraId="0D751046">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协</w:t>
      </w:r>
    </w:p>
    <w:p w14:paraId="3ADC67B0">
      <w:pPr>
        <w:snapToGrid w:val="0"/>
        <w:spacing w:line="240" w:lineRule="auto"/>
        <w:rPr>
          <w:rStyle w:val="14"/>
          <w:rFonts w:ascii="黑体" w:hAnsi="黑体" w:eastAsia="黑体" w:cs="黑体"/>
          <w:b/>
          <w:bCs/>
          <w:sz w:val="44"/>
          <w:szCs w:val="44"/>
        </w:rPr>
      </w:pPr>
    </w:p>
    <w:p w14:paraId="6EC6EE6F">
      <w:pPr>
        <w:snapToGrid w:val="0"/>
        <w:spacing w:line="240" w:lineRule="auto"/>
        <w:jc w:val="center"/>
        <w:rPr>
          <w:rStyle w:val="14"/>
          <w:rFonts w:hint="eastAsia" w:ascii="仿宋_GB2312" w:hAnsi="宋体" w:eastAsia="仿宋_GB2312"/>
          <w:bCs/>
          <w:sz w:val="24"/>
          <w:szCs w:val="24"/>
          <w:lang w:val="en-US" w:eastAsia="zh-CN"/>
        </w:rPr>
      </w:pPr>
      <w:r>
        <w:rPr>
          <w:rStyle w:val="14"/>
          <w:rFonts w:hint="eastAsia" w:ascii="黑体" w:hAnsi="黑体" w:eastAsia="黑体" w:cs="黑体"/>
          <w:b/>
          <w:bCs/>
          <w:sz w:val="44"/>
          <w:szCs w:val="44"/>
        </w:rPr>
        <w:t>议</w:t>
      </w:r>
    </w:p>
    <w:p w14:paraId="3C083594">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宋体" w:eastAsia="仿宋_GB2312"/>
          <w:bCs/>
          <w:sz w:val="24"/>
          <w:szCs w:val="24"/>
          <w:lang w:val="en-US" w:eastAsia="zh-CN"/>
        </w:rPr>
      </w:pPr>
    </w:p>
    <w:p w14:paraId="355EBA73">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宋体" w:eastAsia="仿宋_GB2312"/>
          <w:bCs/>
          <w:sz w:val="24"/>
          <w:szCs w:val="24"/>
          <w:lang w:val="en-US" w:eastAsia="zh-CN"/>
        </w:rPr>
      </w:pPr>
    </w:p>
    <w:p w14:paraId="050BA23A">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宋体" w:eastAsia="仿宋_GB2312"/>
          <w:bCs/>
          <w:sz w:val="24"/>
          <w:szCs w:val="24"/>
          <w:lang w:val="en-US" w:eastAsia="zh-CN"/>
        </w:rPr>
      </w:pPr>
    </w:p>
    <w:p w14:paraId="661358CF">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default" w:ascii="仿宋_GB2312" w:hAnsi="宋体" w:eastAsia="仿宋_GB2312"/>
          <w:bCs/>
          <w:sz w:val="24"/>
          <w:szCs w:val="24"/>
          <w:lang w:val="en-US" w:eastAsia="zh-CN"/>
        </w:rPr>
      </w:pPr>
      <w:r>
        <w:rPr>
          <w:rStyle w:val="14"/>
          <w:rFonts w:hint="eastAsia" w:ascii="仿宋_GB2312" w:hAnsi="宋体" w:eastAsia="仿宋_GB2312"/>
          <w:bCs/>
          <w:sz w:val="24"/>
          <w:szCs w:val="24"/>
          <w:lang w:val="en-US" w:eastAsia="zh-CN"/>
        </w:rPr>
        <w:t>购买人</w:t>
      </w:r>
      <w:r>
        <w:rPr>
          <w:rStyle w:val="14"/>
          <w:rFonts w:ascii="仿宋_GB2312" w:hAnsi="宋体" w:eastAsia="仿宋_GB2312"/>
          <w:bCs/>
          <w:sz w:val="24"/>
          <w:szCs w:val="24"/>
        </w:rPr>
        <w:t>（甲方）：</w:t>
      </w:r>
    </w:p>
    <w:p w14:paraId="688C6B11">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bCs/>
          <w:sz w:val="24"/>
          <w:szCs w:val="24"/>
        </w:rPr>
      </w:pPr>
      <w:r>
        <w:rPr>
          <w:rStyle w:val="14"/>
          <w:rFonts w:ascii="仿宋_GB2312" w:hAnsi="宋体" w:eastAsia="仿宋_GB2312"/>
          <w:bCs/>
          <w:sz w:val="24"/>
          <w:szCs w:val="24"/>
        </w:rPr>
        <w:t>地址：</w:t>
      </w:r>
    </w:p>
    <w:p w14:paraId="2AFF1FCE">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bCs/>
          <w:sz w:val="24"/>
          <w:szCs w:val="24"/>
        </w:rPr>
      </w:pPr>
    </w:p>
    <w:p w14:paraId="643FF900">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ascii="仿宋_GB2312" w:hAnsi="宋体" w:eastAsia="仿宋_GB2312"/>
          <w:bCs/>
          <w:sz w:val="24"/>
          <w:szCs w:val="24"/>
        </w:rPr>
        <w:t>受托方（乙方</w:t>
      </w:r>
      <w:r>
        <w:rPr>
          <w:rStyle w:val="14"/>
          <w:rFonts w:hint="eastAsia" w:ascii="仿宋_GB2312" w:hAnsi="仿宋_GB2312" w:eastAsia="仿宋_GB2312"/>
          <w:b w:val="0"/>
          <w:i w:val="0"/>
          <w:caps w:val="0"/>
          <w:spacing w:val="0"/>
          <w:w w:val="100"/>
          <w:kern w:val="2"/>
          <w:sz w:val="24"/>
          <w:szCs w:val="24"/>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hint="eastAsia" w:ascii="仿宋_GB2312" w:hAnsi="仿宋_GB2312" w:eastAsia="仿宋_GB2312"/>
          <w:b w:val="0"/>
          <w:i w:val="0"/>
          <w:caps w:val="0"/>
          <w:spacing w:val="0"/>
          <w:w w:val="100"/>
          <w:kern w:val="2"/>
          <w:sz w:val="24"/>
          <w:szCs w:val="24"/>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sz w:val="24"/>
          <w:szCs w:val="24"/>
        </w:rPr>
      </w:pPr>
    </w:p>
    <w:p w14:paraId="5FA0DDF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根据《中华人民共和国合同法》、</w:t>
      </w:r>
      <w:r>
        <w:rPr>
          <w:rStyle w:val="14"/>
          <w:rFonts w:hint="eastAsia" w:ascii="仿宋_GB2312" w:hAnsi="宋体" w:eastAsia="仿宋_GB2312"/>
          <w:sz w:val="24"/>
          <w:szCs w:val="24"/>
        </w:rPr>
        <w:t>《行政单位国有资产管理暂行办法》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《事业单位国有资产管理暂行办法》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《山东省省级行政事业国有资产处置管理办法》、《山东省国有资产资源有偿使用收入管理办法》、《山东省国有产权交易管理办法》、</w:t>
      </w:r>
      <w:r>
        <w:rPr>
          <w:rStyle w:val="14"/>
          <w:rFonts w:ascii="仿宋_GB2312" w:hAnsi="宋体" w:eastAsia="仿宋_GB2312"/>
          <w:sz w:val="24"/>
          <w:szCs w:val="24"/>
        </w:rPr>
        <w:t>《中华人民共和国</w:t>
      </w:r>
      <w:r>
        <w:rPr>
          <w:rStyle w:val="14"/>
          <w:rFonts w:hint="eastAsia" w:ascii="仿宋_GB2312" w:hAnsi="宋体" w:eastAsia="仿宋_GB2312"/>
          <w:sz w:val="24"/>
          <w:szCs w:val="24"/>
          <w:lang w:val="en-US"/>
        </w:rPr>
        <w:t>民法典</w:t>
      </w:r>
      <w:r>
        <w:rPr>
          <w:rStyle w:val="14"/>
          <w:rFonts w:ascii="仿宋_GB2312" w:hAnsi="宋体" w:eastAsia="仿宋_GB2312"/>
          <w:sz w:val="24"/>
          <w:szCs w:val="24"/>
        </w:rPr>
        <w:t>》等有关规定，甲、乙双方遵循自愿、平等、公正、诚实信用的原则，协商一致，签订</w:t>
      </w:r>
      <w:r>
        <w:rPr>
          <w:rStyle w:val="14"/>
          <w:rFonts w:hint="eastAsia" w:ascii="仿宋_GB2312" w:hAnsi="宋体" w:eastAsia="仿宋_GB2312"/>
          <w:sz w:val="24"/>
          <w:szCs w:val="24"/>
          <w:lang w:eastAsia="zh-CN"/>
        </w:rPr>
        <w:t>咨询服务协议</w:t>
      </w:r>
      <w:r>
        <w:rPr>
          <w:rStyle w:val="14"/>
          <w:rFonts w:ascii="仿宋_GB2312" w:hAnsi="宋体" w:eastAsia="仿宋_GB2312"/>
          <w:sz w:val="24"/>
          <w:szCs w:val="24"/>
        </w:rPr>
        <w:t>如下。</w:t>
      </w:r>
    </w:p>
    <w:p w14:paraId="293E792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ascii="仿宋_GB2312" w:hAnsi="宋体" w:eastAsia="仿宋_GB2312"/>
          <w:sz w:val="24"/>
          <w:szCs w:val="24"/>
        </w:rPr>
        <w:t>一、一般委托事项</w:t>
      </w:r>
    </w:p>
    <w:p w14:paraId="6216FF2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lang w:val="en-US" w:eastAsia="zh-CN"/>
        </w:rPr>
      </w:pPr>
      <w:r>
        <w:rPr>
          <w:rStyle w:val="14"/>
          <w:rFonts w:hint="eastAsia" w:ascii="仿宋_GB2312" w:hAnsi="宋体" w:eastAsia="仿宋_GB2312"/>
          <w:sz w:val="24"/>
          <w:szCs w:val="24"/>
          <w:lang w:val="en-US" w:eastAsia="zh-CN"/>
        </w:rPr>
        <w:t>1、</w:t>
      </w:r>
      <w:r>
        <w:rPr>
          <w:rStyle w:val="14"/>
          <w:rFonts w:hint="eastAsia" w:ascii="仿宋_GB2312" w:hAnsi="宋体" w:eastAsia="仿宋_GB2312"/>
          <w:sz w:val="24"/>
          <w:szCs w:val="24"/>
        </w:rPr>
        <w:t>甲方委托参与</w:t>
      </w:r>
      <w:r>
        <w:rPr>
          <w:rStyle w:val="14"/>
          <w:rFonts w:hint="eastAsia" w:ascii="仿宋_GB2312" w:hAnsi="宋体" w:eastAsia="仿宋_GB2312"/>
          <w:sz w:val="24"/>
          <w:szCs w:val="24"/>
        </w:rPr>
        <w:t>受</w:t>
      </w:r>
      <w:r>
        <w:rPr>
          <w:rStyle w:val="14"/>
          <w:rFonts w:hint="eastAsia" w:ascii="仿宋_GB2312" w:hAnsi="宋体" w:eastAsia="仿宋_GB2312"/>
          <w:sz w:val="24"/>
          <w:szCs w:val="24"/>
          <w:lang w:val="en-US" w:eastAsia="zh-CN"/>
        </w:rPr>
        <w:t>让</w:t>
      </w:r>
      <w:r>
        <w:rPr>
          <w:rFonts w:hint="eastAsia" w:ascii="仿宋" w:hAnsi="仿宋" w:eastAsia="仿宋" w:cs="仿宋"/>
          <w:bCs/>
          <w:sz w:val="24"/>
          <w:szCs w:val="24"/>
          <w:lang w:val="en-US" w:eastAsia="zh-CN"/>
        </w:rPr>
        <w:t>枣庄职业学院通讯营业厅三年期经营权转让项目</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包</w:t>
      </w:r>
      <w:bookmarkStart w:id="0" w:name="_GoBack"/>
      <w:bookmarkEnd w:id="0"/>
      <w:r>
        <w:rPr>
          <w:rStyle w:val="14"/>
          <w:rFonts w:hint="eastAsia" w:ascii="仿宋_GB2312" w:hAnsi="宋体" w:eastAsia="仿宋_GB2312"/>
          <w:sz w:val="24"/>
          <w:szCs w:val="24"/>
          <w:lang w:val="en-US"/>
        </w:rPr>
        <w:t>的申请</w:t>
      </w:r>
      <w:r>
        <w:rPr>
          <w:rStyle w:val="14"/>
          <w:rFonts w:hint="eastAsia" w:ascii="仿宋_GB2312" w:hAnsi="宋体" w:eastAsia="仿宋_GB2312"/>
          <w:sz w:val="24"/>
          <w:szCs w:val="24"/>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lang w:val="en-US"/>
        </w:rPr>
      </w:pPr>
      <w:r>
        <w:rPr>
          <w:rStyle w:val="14"/>
          <w:rFonts w:hint="eastAsia" w:ascii="仿宋_GB2312" w:hAnsi="宋体" w:eastAsia="仿宋_GB2312"/>
          <w:sz w:val="24"/>
          <w:szCs w:val="24"/>
          <w:lang w:val="en-US" w:eastAsia="zh-CN"/>
        </w:rPr>
        <w:t>2、</w:t>
      </w:r>
      <w:r>
        <w:rPr>
          <w:rStyle w:val="14"/>
          <w:rFonts w:hint="eastAsia" w:ascii="仿宋_GB2312" w:hAnsi="宋体" w:eastAsia="仿宋_GB2312"/>
          <w:sz w:val="24"/>
          <w:szCs w:val="24"/>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lang w:val="en-US" w:eastAsia="zh-CN"/>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向甲方提供有关法律、法规、政策及产权交易的专业咨询服务</w:t>
      </w:r>
      <w:r>
        <w:rPr>
          <w:rStyle w:val="14"/>
          <w:rFonts w:hint="eastAsia" w:ascii="仿宋_GB2312" w:hAnsi="宋体" w:eastAsia="仿宋_GB2312"/>
          <w:sz w:val="24"/>
          <w:szCs w:val="24"/>
        </w:rPr>
        <w:t>；</w:t>
      </w:r>
    </w:p>
    <w:p w14:paraId="5051E29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lang w:val="en-US" w:eastAsia="zh-CN"/>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代为填写《</w:t>
      </w:r>
      <w:r>
        <w:rPr>
          <w:rStyle w:val="14"/>
          <w:rFonts w:hint="eastAsia" w:ascii="仿宋_GB2312" w:hAnsi="宋体" w:eastAsia="仿宋_GB2312"/>
          <w:sz w:val="24"/>
          <w:szCs w:val="24"/>
        </w:rPr>
        <w:t>网络竞价承诺函</w:t>
      </w:r>
      <w:r>
        <w:rPr>
          <w:rStyle w:val="14"/>
          <w:rFonts w:ascii="仿宋_GB2312" w:hAnsi="宋体" w:eastAsia="仿宋_GB2312"/>
          <w:sz w:val="24"/>
          <w:szCs w:val="24"/>
        </w:rPr>
        <w:t>》</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w:t>
      </w:r>
      <w:r>
        <w:rPr>
          <w:rStyle w:val="14"/>
          <w:rFonts w:hint="eastAsia" w:ascii="仿宋_GB2312" w:hAnsi="宋体" w:eastAsia="仿宋_GB2312"/>
          <w:sz w:val="24"/>
          <w:szCs w:val="24"/>
        </w:rPr>
        <w:t>资产受让网络竞价须知》</w:t>
      </w:r>
      <w:r>
        <w:rPr>
          <w:rStyle w:val="14"/>
          <w:rFonts w:hint="eastAsia" w:ascii="仿宋_GB2312" w:hAnsi="宋体" w:eastAsia="仿宋_GB2312"/>
          <w:sz w:val="24"/>
          <w:szCs w:val="24"/>
          <w:lang w:val="en-US" w:eastAsia="zh-CN"/>
        </w:rPr>
        <w:t>等报名交易材料</w:t>
      </w:r>
      <w:r>
        <w:rPr>
          <w:rStyle w:val="14"/>
          <w:rFonts w:hint="eastAsia" w:ascii="仿宋_GB2312" w:hAnsi="宋体" w:eastAsia="仿宋_GB2312"/>
          <w:sz w:val="24"/>
          <w:szCs w:val="24"/>
        </w:rPr>
        <w:t>；</w:t>
      </w:r>
    </w:p>
    <w:p w14:paraId="2A28BE4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（4）对委托项目进行现场看样、告知竞价网址、竞价账号、竞价时间、操作流程相关事宜等其他交易综合配套服务</w:t>
      </w:r>
      <w:r>
        <w:rPr>
          <w:rStyle w:val="14"/>
          <w:rFonts w:ascii="仿宋_GB2312" w:hAnsi="宋体" w:eastAsia="仿宋_GB2312"/>
          <w:sz w:val="24"/>
          <w:szCs w:val="24"/>
        </w:rPr>
        <w:t>；</w:t>
      </w:r>
    </w:p>
    <w:p w14:paraId="2C35DCA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（5）其他</w:t>
      </w:r>
      <w:r>
        <w:rPr>
          <w:rStyle w:val="14"/>
          <w:rFonts w:ascii="仿宋_GB2312" w:hAnsi="宋体" w:eastAsia="仿宋_GB2312"/>
          <w:sz w:val="24"/>
          <w:szCs w:val="24"/>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二、委托期限</w:t>
      </w:r>
    </w:p>
    <w:p w14:paraId="545DC2F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委托期限自</w:t>
      </w:r>
      <w:r>
        <w:rPr>
          <w:rStyle w:val="14"/>
          <w:rFonts w:hint="eastAsia" w:ascii="仿宋_GB2312" w:hAnsi="宋体" w:eastAsia="仿宋_GB2312"/>
          <w:bCs/>
          <w:sz w:val="24"/>
          <w:szCs w:val="24"/>
          <w:lang w:val="en-US" w:eastAsia="zh-CN"/>
        </w:rPr>
        <w:t>2025年8月6日</w:t>
      </w:r>
      <w:r>
        <w:rPr>
          <w:rStyle w:val="14"/>
          <w:rFonts w:ascii="仿宋_GB2312" w:hAnsi="宋体" w:eastAsia="仿宋_GB2312"/>
          <w:bCs/>
          <w:sz w:val="24"/>
          <w:szCs w:val="24"/>
        </w:rPr>
        <w:t>起，至交易完成日止。</w:t>
      </w:r>
    </w:p>
    <w:p w14:paraId="727255E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三、权利和义务</w:t>
      </w:r>
    </w:p>
    <w:p w14:paraId="169B324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4"/>
          <w:szCs w:val="24"/>
          <w:lang w:val="en-US" w:eastAsia="zh-CN"/>
        </w:rPr>
        <w:t>市公共资源国有产权交易有限公司</w:t>
      </w:r>
      <w:r>
        <w:rPr>
          <w:rStyle w:val="14"/>
          <w:rFonts w:ascii="仿宋_GB2312" w:hAnsi="宋体" w:eastAsia="仿宋_GB2312"/>
          <w:sz w:val="24"/>
          <w:szCs w:val="24"/>
        </w:rPr>
        <w:t>的监管。</w:t>
      </w:r>
    </w:p>
    <w:p w14:paraId="3CB366A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4</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四、双方的承诺</w:t>
      </w:r>
    </w:p>
    <w:p w14:paraId="4D1FDBE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1、</w:t>
      </w:r>
      <w:r>
        <w:rPr>
          <w:rStyle w:val="14"/>
          <w:rFonts w:ascii="仿宋_GB2312" w:hAnsi="宋体" w:eastAsia="仿宋_GB2312"/>
          <w:sz w:val="24"/>
          <w:szCs w:val="24"/>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w:t>
      </w:r>
      <w:r>
        <w:rPr>
          <w:rStyle w:val="14"/>
          <w:rFonts w:hint="eastAsia" w:ascii="仿宋_GB2312" w:hAnsi="宋体" w:eastAsia="仿宋_GB2312"/>
          <w:sz w:val="24"/>
          <w:szCs w:val="24"/>
        </w:rPr>
        <w:t>承诺：</w:t>
      </w:r>
    </w:p>
    <w:p w14:paraId="5DD12BB1">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lang w:val="en-US" w:eastAsia="zh-CN"/>
        </w:rPr>
      </w:pPr>
      <w:r>
        <w:rPr>
          <w:rStyle w:val="14"/>
          <w:rFonts w:ascii="仿宋_GB2312" w:hAnsi="宋体" w:eastAsia="仿宋_GB2312"/>
          <w:sz w:val="24"/>
          <w:szCs w:val="24"/>
        </w:rPr>
        <w:t>五、</w:t>
      </w:r>
      <w:r>
        <w:rPr>
          <w:rStyle w:val="14"/>
          <w:rFonts w:hint="eastAsia" w:ascii="仿宋_GB2312" w:hAnsi="宋体" w:eastAsia="仿宋_GB2312"/>
          <w:sz w:val="24"/>
          <w:szCs w:val="24"/>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乙方</w:t>
      </w:r>
      <w:r>
        <w:rPr>
          <w:rStyle w:val="14"/>
          <w:rFonts w:hint="eastAsia" w:ascii="仿宋_GB2312" w:hAnsi="宋体" w:eastAsia="仿宋_GB2312"/>
          <w:sz w:val="24"/>
          <w:szCs w:val="24"/>
        </w:rPr>
        <w:t>被确定为受让方后</w:t>
      </w:r>
      <w:r>
        <w:rPr>
          <w:rStyle w:val="14"/>
          <w:rFonts w:ascii="仿宋_GB2312" w:hAnsi="宋体" w:eastAsia="仿宋_GB2312"/>
          <w:sz w:val="24"/>
          <w:szCs w:val="24"/>
        </w:rPr>
        <w:t>，应向甲方收取</w:t>
      </w:r>
      <w:r>
        <w:rPr>
          <w:rStyle w:val="14"/>
          <w:rFonts w:hint="eastAsia" w:ascii="仿宋_GB2312" w:hAnsi="宋体" w:eastAsia="仿宋_GB2312"/>
          <w:sz w:val="24"/>
          <w:szCs w:val="24"/>
          <w:lang w:eastAsia="zh-CN"/>
        </w:rPr>
        <w:t>服务费，</w:t>
      </w:r>
      <w:r>
        <w:rPr>
          <w:rStyle w:val="14"/>
          <w:rFonts w:ascii="仿宋_GB2312" w:hAnsi="宋体" w:eastAsia="仿宋_GB2312"/>
          <w:sz w:val="24"/>
          <w:szCs w:val="24"/>
        </w:rPr>
        <w:t>按照成交价格</w:t>
      </w:r>
      <w:r>
        <w:rPr>
          <w:rStyle w:val="14"/>
          <w:rFonts w:hint="eastAsia" w:ascii="仿宋_GB2312" w:hAnsi="宋体" w:eastAsia="仿宋_GB2312"/>
          <w:sz w:val="24"/>
          <w:szCs w:val="24"/>
          <w:lang w:eastAsia="zh-CN"/>
        </w:rPr>
        <w:t>收取</w:t>
      </w:r>
      <w:r>
        <w:rPr>
          <w:rStyle w:val="14"/>
          <w:rFonts w:hint="eastAsia" w:ascii="仿宋_GB2312" w:hAnsi="宋体" w:eastAsia="仿宋_GB2312"/>
          <w:sz w:val="24"/>
          <w:szCs w:val="24"/>
          <w:lang w:val="en-US" w:eastAsia="zh-CN"/>
        </w:rPr>
        <w:t>1.4%</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甲方在</w:t>
      </w:r>
      <w:r>
        <w:rPr>
          <w:rStyle w:val="14"/>
          <w:rFonts w:hint="eastAsia" w:ascii="仿宋_GB2312" w:hAnsi="宋体" w:eastAsia="仿宋_GB2312"/>
          <w:sz w:val="24"/>
          <w:szCs w:val="24"/>
          <w:lang w:eastAsia="zh-CN"/>
        </w:rPr>
        <w:t>资产（</w:t>
      </w:r>
      <w:r>
        <w:rPr>
          <w:rStyle w:val="14"/>
          <w:rFonts w:ascii="仿宋_GB2312" w:hAnsi="宋体" w:eastAsia="仿宋_GB2312"/>
          <w:sz w:val="24"/>
          <w:szCs w:val="24"/>
        </w:rPr>
        <w:t>产权</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 xml:space="preserve">交易合同签订后 </w:t>
      </w:r>
      <w:r>
        <w:rPr>
          <w:rStyle w:val="14"/>
          <w:rFonts w:hint="eastAsia" w:ascii="仿宋_GB2312" w:hAnsi="宋体" w:eastAsia="仿宋_GB2312"/>
          <w:sz w:val="24"/>
          <w:szCs w:val="24"/>
          <w:lang w:val="en-US" w:eastAsia="zh-CN"/>
        </w:rPr>
        <w:t xml:space="preserve">3 </w:t>
      </w:r>
      <w:r>
        <w:rPr>
          <w:rStyle w:val="14"/>
          <w:rFonts w:ascii="仿宋_GB2312" w:hAnsi="宋体" w:eastAsia="仿宋_GB2312"/>
          <w:sz w:val="24"/>
          <w:szCs w:val="24"/>
        </w:rPr>
        <w:t>日内付清。</w:t>
      </w:r>
    </w:p>
    <w:p w14:paraId="0B2ABBB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val="en-US"/>
        </w:rPr>
        <w:t>六、</w:t>
      </w:r>
      <w:r>
        <w:rPr>
          <w:rStyle w:val="14"/>
          <w:rFonts w:hint="eastAsia" w:ascii="仿宋_GB2312" w:hAnsi="宋体" w:eastAsia="仿宋_GB2312"/>
          <w:sz w:val="24"/>
          <w:szCs w:val="24"/>
        </w:rPr>
        <w:t>因意向受让方如下行为产生的一切后果，</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w:t>
      </w:r>
    </w:p>
    <w:p w14:paraId="1FCAA99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1、未及时关注</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十七、网络竞价系统因不可抗力、软硬件故障、非法入侵、恶意攻击等原因而导致系统异常、竞价活动中断的，</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不承担任何责任。中心将视情况组织继续报价或重新报价，并通过</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rPr>
        <w:t>七</w:t>
      </w:r>
      <w:r>
        <w:rPr>
          <w:rStyle w:val="14"/>
          <w:rFonts w:ascii="仿宋_GB2312" w:hAnsi="宋体" w:eastAsia="仿宋_GB2312"/>
          <w:sz w:val="24"/>
          <w:szCs w:val="24"/>
        </w:rPr>
        <w:t>、违约责任</w:t>
      </w:r>
      <w:r>
        <w:rPr>
          <w:rStyle w:val="14"/>
          <w:rFonts w:hint="eastAsia" w:ascii="仿宋_GB2312" w:hAnsi="宋体" w:eastAsia="仿宋_GB2312"/>
          <w:sz w:val="24"/>
          <w:szCs w:val="24"/>
          <w:lang w:val="en-US" w:eastAsia="zh-CN"/>
        </w:rPr>
        <w:t>及</w:t>
      </w:r>
      <w:r>
        <w:rPr>
          <w:rStyle w:val="14"/>
          <w:rFonts w:ascii="仿宋_GB2312" w:hAnsi="宋体" w:eastAsia="仿宋_GB2312"/>
          <w:sz w:val="24"/>
          <w:szCs w:val="24"/>
        </w:rPr>
        <w:t>其他内容</w:t>
      </w:r>
    </w:p>
    <w:p w14:paraId="3DBD68D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3、</w:t>
      </w:r>
      <w:r>
        <w:rPr>
          <w:rStyle w:val="14"/>
          <w:rFonts w:ascii="仿宋_GB2312" w:hAnsi="宋体" w:eastAsia="仿宋_GB2312"/>
          <w:sz w:val="24"/>
          <w:szCs w:val="24"/>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w:t>
      </w:r>
      <w:r>
        <w:rPr>
          <w:rStyle w:val="14"/>
          <w:rFonts w:ascii="仿宋_GB2312" w:hAnsi="宋体" w:eastAsia="仿宋_GB2312"/>
          <w:sz w:val="24"/>
          <w:szCs w:val="24"/>
        </w:rPr>
        <w:t>本合同壹式</w:t>
      </w:r>
      <w:r>
        <w:rPr>
          <w:rStyle w:val="14"/>
          <w:rFonts w:hint="eastAsia" w:ascii="仿宋_GB2312" w:hAnsi="宋体" w:eastAsia="仿宋_GB2312"/>
          <w:sz w:val="24"/>
          <w:szCs w:val="24"/>
        </w:rPr>
        <w:t>贰</w:t>
      </w:r>
      <w:r>
        <w:rPr>
          <w:rStyle w:val="14"/>
          <w:rFonts w:ascii="仿宋_GB2312" w:hAnsi="宋体" w:eastAsia="仿宋_GB2312"/>
          <w:sz w:val="24"/>
          <w:szCs w:val="24"/>
        </w:rPr>
        <w:t>份，甲乙双方各执</w:t>
      </w:r>
      <w:r>
        <w:rPr>
          <w:rStyle w:val="14"/>
          <w:rFonts w:hint="eastAsia" w:ascii="仿宋_GB2312" w:hAnsi="宋体" w:eastAsia="仿宋_GB2312"/>
          <w:sz w:val="24"/>
          <w:szCs w:val="24"/>
          <w:lang w:val="en-US" w:eastAsia="zh-CN"/>
        </w:rPr>
        <w:t>壹</w:t>
      </w:r>
      <w:r>
        <w:rPr>
          <w:rStyle w:val="14"/>
          <w:rFonts w:ascii="仿宋_GB2312" w:hAnsi="宋体" w:eastAsia="仿宋_GB2312"/>
          <w:sz w:val="24"/>
          <w:szCs w:val="24"/>
        </w:rPr>
        <w:t>份。</w:t>
      </w:r>
    </w:p>
    <w:p w14:paraId="60260AC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p>
    <w:p w14:paraId="6655E6B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p>
    <w:p w14:paraId="4FEA081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购买方</w:t>
      </w:r>
      <w:r>
        <w:rPr>
          <w:rStyle w:val="14"/>
          <w:rFonts w:ascii="仿宋_GB2312" w:hAnsi="宋体" w:eastAsia="仿宋_GB2312"/>
          <w:sz w:val="24"/>
          <w:szCs w:val="24"/>
        </w:rPr>
        <w:t>（盖章）：                  受托方（盖章）：</w:t>
      </w:r>
    </w:p>
    <w:p w14:paraId="42212248">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sz w:val="24"/>
          <w:szCs w:val="24"/>
        </w:rPr>
      </w:pPr>
    </w:p>
    <w:p w14:paraId="244962C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sz w:val="24"/>
          <w:szCs w:val="24"/>
        </w:rPr>
      </w:pPr>
    </w:p>
    <w:p w14:paraId="46B1279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Fonts w:hint="eastAsia" w:ascii="宋体" w:hAnsi="宋体"/>
          <w:bCs/>
          <w:sz w:val="22"/>
          <w:szCs w:val="20"/>
        </w:rPr>
      </w:pPr>
      <w:r>
        <w:rPr>
          <w:rStyle w:val="14"/>
          <w:rFonts w:ascii="仿宋_GB2312" w:hAnsi="宋体" w:eastAsia="仿宋_GB2312"/>
          <w:sz w:val="24"/>
          <w:szCs w:val="24"/>
        </w:rPr>
        <w:t xml:space="preserve">年    月    日               </w:t>
      </w:r>
      <w:r>
        <w:rPr>
          <w:rStyle w:val="14"/>
          <w:rFonts w:hint="eastAsia" w:ascii="仿宋_GB2312" w:hAnsi="宋体" w:eastAsia="仿宋_GB2312"/>
          <w:sz w:val="24"/>
          <w:szCs w:val="24"/>
          <w:lang w:val="en-US" w:eastAsia="zh-CN"/>
        </w:rPr>
        <w:t xml:space="preserve">     </w:t>
      </w:r>
      <w:r>
        <w:rPr>
          <w:rStyle w:val="14"/>
          <w:rFonts w:ascii="仿宋_GB2312" w:hAnsi="宋体" w:eastAsia="仿宋_GB2312"/>
          <w:sz w:val="24"/>
          <w:szCs w:val="24"/>
        </w:rPr>
        <w:t>年    月   日</w:t>
      </w:r>
    </w:p>
    <w:sectPr>
      <w:headerReference r:id="rId3" w:type="default"/>
      <w:footerReference r:id="rId4" w:type="default"/>
      <w:pgSz w:w="11906" w:h="16838"/>
      <w:pgMar w:top="590" w:right="567" w:bottom="567" w:left="567" w:header="567" w:footer="595"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947EA4"/>
    <w:rsid w:val="2EAB2859"/>
    <w:rsid w:val="320A41F6"/>
    <w:rsid w:val="327E09D6"/>
    <w:rsid w:val="3323292B"/>
    <w:rsid w:val="36BE7C9C"/>
    <w:rsid w:val="374A4EE7"/>
    <w:rsid w:val="37D72911"/>
    <w:rsid w:val="38653434"/>
    <w:rsid w:val="38DF0CF8"/>
    <w:rsid w:val="38FD1F03"/>
    <w:rsid w:val="394806F9"/>
    <w:rsid w:val="39BD1836"/>
    <w:rsid w:val="3A4A1178"/>
    <w:rsid w:val="3AA651BA"/>
    <w:rsid w:val="3AB56B53"/>
    <w:rsid w:val="3B007A89"/>
    <w:rsid w:val="3B4B668C"/>
    <w:rsid w:val="3B950B19"/>
    <w:rsid w:val="3C0B35D2"/>
    <w:rsid w:val="3C684D7B"/>
    <w:rsid w:val="3CC73AC6"/>
    <w:rsid w:val="3CD4741F"/>
    <w:rsid w:val="3D09213E"/>
    <w:rsid w:val="3D9D3CB5"/>
    <w:rsid w:val="3E686955"/>
    <w:rsid w:val="3EB04D2E"/>
    <w:rsid w:val="3F0F2990"/>
    <w:rsid w:val="3F605988"/>
    <w:rsid w:val="404A6C97"/>
    <w:rsid w:val="40941F46"/>
    <w:rsid w:val="40B52A37"/>
    <w:rsid w:val="41E878C8"/>
    <w:rsid w:val="42B45D29"/>
    <w:rsid w:val="42BC4BDD"/>
    <w:rsid w:val="4321091F"/>
    <w:rsid w:val="43370708"/>
    <w:rsid w:val="43F9281D"/>
    <w:rsid w:val="44017995"/>
    <w:rsid w:val="441F4203"/>
    <w:rsid w:val="447A7CAF"/>
    <w:rsid w:val="44BD4C3D"/>
    <w:rsid w:val="44DD7429"/>
    <w:rsid w:val="463B0CD6"/>
    <w:rsid w:val="46525967"/>
    <w:rsid w:val="4690053B"/>
    <w:rsid w:val="47FF2A2E"/>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CB77DDB"/>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paragraph" w:customStyle="1" w:styleId="1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4"/>
    <w:autoRedefine/>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4664</Words>
  <Characters>4812</Characters>
  <Lines>29</Lines>
  <Paragraphs>8</Paragraphs>
  <TotalTime>2</TotalTime>
  <ScaleCrop>false</ScaleCrop>
  <LinksUpToDate>false</LinksUpToDate>
  <CharactersWithSpaces>4937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2025-08-06T07:05:40Z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9D253C9CAB0B41E9944DB31EECAB2581_13</vt:lpwstr>
  </property>
  <property fmtid="{D5CDD505-2E9C-101B-9397-08002B2CF9AE}" pid="4" name="KSOTemplateDocerSaveRecord">
    <vt:lpwstr>eyJoZGlkIjoiYjY4MWQxYzQ0YTA4YWM1ZmYzZjM5ZmQwMDI1MTRhYzciLCJ1c2VySWQiOiIyNDA5NjcyNjkifQ==</vt:lpwstr>
  </property>
</Properties>
</file>