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枣庄市行政事业国有资产运营中心：</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我方就参与枣庄市行政事业国有资产运营中心所属资产处置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B、C包项目（项目编号</w:t>
      </w:r>
      <w:r>
        <w:rPr>
          <w:rFonts w:ascii="微软雅黑" w:hAnsi="微软雅黑" w:eastAsia="微软雅黑" w:cs="微软雅黑"/>
          <w:i w:val="0"/>
          <w:iCs w:val="0"/>
          <w:caps w:val="0"/>
          <w:color w:val="222222"/>
          <w:spacing w:val="0"/>
          <w:sz w:val="24"/>
          <w:szCs w:val="24"/>
          <w:shd w:val="clear" w:fill="FFFFFF"/>
        </w:rPr>
        <w:t>LNGZ2024-157</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B包</w:t>
      </w:r>
      <w:r>
        <w:rPr>
          <w:rFonts w:ascii="微软雅黑" w:hAnsi="微软雅黑" w:eastAsia="微软雅黑" w:cs="微软雅黑"/>
          <w:i w:val="0"/>
          <w:iCs w:val="0"/>
          <w:caps w:val="0"/>
          <w:color w:val="EF2424"/>
          <w:spacing w:val="0"/>
          <w:sz w:val="24"/>
          <w:szCs w:val="24"/>
          <w:shd w:val="clear" w:fill="FFFFFF"/>
        </w:rPr>
        <w:t>8.5488万元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，C包</w:t>
      </w:r>
      <w:r>
        <w:rPr>
          <w:rFonts w:ascii="微软雅黑" w:hAnsi="微软雅黑" w:eastAsia="微软雅黑" w:cs="微软雅黑"/>
          <w:i w:val="0"/>
          <w:iCs w:val="0"/>
          <w:caps w:val="0"/>
          <w:color w:val="EF2424"/>
          <w:spacing w:val="0"/>
          <w:sz w:val="24"/>
          <w:szCs w:val="24"/>
          <w:shd w:val="clear" w:fill="FFFFFF"/>
        </w:rPr>
        <w:t>4.0083万元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枣庄市公共资源国有产权交易有限公司交纳购买该资产的交易保证金B包</w:t>
      </w:r>
      <w:r>
        <w:rPr>
          <w:rFonts w:hint="eastAsia" w:ascii="微软雅黑" w:hAnsi="微软雅黑" w:eastAsia="微软雅黑" w:cs="微软雅黑"/>
          <w:i w:val="0"/>
          <w:iCs w:val="0"/>
          <w:caps w:val="0"/>
          <w:color w:val="EF2424"/>
          <w:spacing w:val="0"/>
          <w:sz w:val="24"/>
          <w:szCs w:val="24"/>
          <w:shd w:val="clear" w:fill="FFFFFF"/>
          <w:lang w:val="en-US" w:eastAsia="zh-CN"/>
        </w:rPr>
        <w:t>2.5</w:t>
      </w:r>
      <w:r>
        <w:rPr>
          <w:rFonts w:ascii="微软雅黑" w:hAnsi="微软雅黑" w:eastAsia="微软雅黑" w:cs="微软雅黑"/>
          <w:i w:val="0"/>
          <w:iCs w:val="0"/>
          <w:caps w:val="0"/>
          <w:color w:val="EF2424"/>
          <w:spacing w:val="0"/>
          <w:sz w:val="24"/>
          <w:szCs w:val="24"/>
          <w:shd w:val="clear" w:fill="FFFFFF"/>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，C包</w:t>
      </w:r>
      <w:r>
        <w:rPr>
          <w:rFonts w:hint="eastAsia" w:ascii="微软雅黑" w:hAnsi="微软雅黑" w:eastAsia="微软雅黑" w:cs="微软雅黑"/>
          <w:i w:val="0"/>
          <w:iCs w:val="0"/>
          <w:caps w:val="0"/>
          <w:color w:val="EF2424"/>
          <w:spacing w:val="0"/>
          <w:sz w:val="24"/>
          <w:szCs w:val="24"/>
          <w:shd w:val="clear" w:fill="FFFFFF"/>
          <w:lang w:val="en-US" w:eastAsia="zh-CN"/>
        </w:rPr>
        <w:t>1.25</w:t>
      </w:r>
      <w:r>
        <w:rPr>
          <w:rFonts w:ascii="微软雅黑" w:hAnsi="微软雅黑" w:eastAsia="微软雅黑" w:cs="微软雅黑"/>
          <w:i w:val="0"/>
          <w:iCs w:val="0"/>
          <w:caps w:val="0"/>
          <w:color w:val="EF2424"/>
          <w:spacing w:val="0"/>
          <w:sz w:val="24"/>
          <w:szCs w:val="24"/>
          <w:shd w:val="clear" w:fill="FFFFFF"/>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枣庄市行政事业国有资产运营中心所属资产处置B、C包</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w:t>
      </w:r>
      <w:r>
        <w:rPr>
          <w:rFonts w:ascii="微软雅黑" w:hAnsi="微软雅黑" w:eastAsia="微软雅黑" w:cs="微软雅黑"/>
          <w:i w:val="0"/>
          <w:iCs w:val="0"/>
          <w:caps w:val="0"/>
          <w:color w:val="222222"/>
          <w:spacing w:val="0"/>
          <w:sz w:val="24"/>
          <w:szCs w:val="24"/>
          <w:shd w:val="clear" w:fill="FFFFFF"/>
        </w:rPr>
        <w:t>LNGZ2024-157</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C278AC6">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1、该标的分开处置，分开受让，分为A、B、C三个资产包，A包为编号1-2864报废机械设备。B包为编号2865-2874号车辆十辆。C包为编号2875-2885车辆十一辆。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本次车辆交易不包含车牌，部分车辆钥匙遗失，转让标的车辆均不包括所属车辆保险，受让方自行核对车辆标的相关信息（包括但不限于车辆初次登记时间、已行驶里程、是否为事故车辆、是否有违章罚款、扣分、缺失配件、未年检、保险、轮胎与配置不符、车辆能否过户、车辆是否超过报废年限、车辆停车费、车辆过户所需的一切税费等）。由于受让方对标的了解不彻底所造成的损失，由受让方自行承担，转让方对以上事项不承担任何责任和费用。标的车辆严格以现场实物及其现状进行交易，转让人要求意向受让方务必到现场实地查看后方可报名参拍，意向受让方不到现场看车的，一经报名即视为同意按现状竞买，受让方不得以上述理由退车或要求赔偿。</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3、受让方提车后即为车辆所有人，无论办理过户与否，都将承担与车辆有关的一切法律责任,因车辆注册登记手续办理所产生的一切费用均由受让方承担。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4、资产清单详见山东忠信资产评估有限公司鲁忠信评报字【2024】第036号。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5、标的查看联系人：高女士 联系话电:0632-8836876。</w:t>
      </w:r>
    </w:p>
    <w:p w14:paraId="4C15947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B包</w:t>
      </w:r>
      <w:r>
        <w:rPr>
          <w:rFonts w:ascii="微软雅黑" w:hAnsi="微软雅黑" w:eastAsia="微软雅黑" w:cs="微软雅黑"/>
          <w:i w:val="0"/>
          <w:iCs w:val="0"/>
          <w:caps w:val="0"/>
          <w:color w:val="EF2424"/>
          <w:spacing w:val="0"/>
          <w:sz w:val="24"/>
          <w:szCs w:val="24"/>
          <w:shd w:val="clear" w:fill="FFFFFF"/>
        </w:rPr>
        <w:t>8.5488万元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，C包</w:t>
      </w:r>
      <w:r>
        <w:rPr>
          <w:rFonts w:ascii="微软雅黑" w:hAnsi="微软雅黑" w:eastAsia="微软雅黑" w:cs="微软雅黑"/>
          <w:i w:val="0"/>
          <w:iCs w:val="0"/>
          <w:caps w:val="0"/>
          <w:color w:val="EF2424"/>
          <w:spacing w:val="0"/>
          <w:sz w:val="24"/>
          <w:szCs w:val="24"/>
          <w:shd w:val="clear" w:fill="FFFFFF"/>
        </w:rPr>
        <w:t>4.0083万元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w:t>
      </w:r>
      <w:r>
        <w:rPr>
          <w:rFonts w:hint="eastAsia" w:ascii="宋体" w:hAnsi="宋体"/>
          <w:bCs/>
          <w:sz w:val="28"/>
          <w:lang w:val="en-US" w:eastAsia="zh-CN"/>
        </w:rPr>
        <w:t>枣庄市行政事业国有资产运营中心所属资产处置B、C包</w:t>
      </w:r>
      <w:r>
        <w:rPr>
          <w:rFonts w:hint="eastAsia" w:ascii="宋体" w:hAnsi="宋体"/>
          <w:bCs/>
          <w:sz w:val="28"/>
        </w:rPr>
        <w:t>-</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5164CC86">
      <w:pPr>
        <w:snapToGrid w:val="0"/>
        <w:spacing w:line="500" w:lineRule="atLeast"/>
        <w:jc w:val="both"/>
        <w:rPr>
          <w:rStyle w:val="14"/>
          <w:rFonts w:hint="eastAsia" w:ascii="黑体" w:hAnsi="黑体" w:eastAsia="黑体" w:cs="黑体"/>
          <w:b/>
          <w:bCs/>
          <w:sz w:val="52"/>
          <w:szCs w:val="52"/>
        </w:rPr>
      </w:pP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一</w:t>
      </w:r>
      <w:r>
        <w:rPr>
          <w:rStyle w:val="14"/>
          <w:rFonts w:hint="eastAsia" w:ascii="仿宋_GB2312" w:hAnsi="宋体" w:eastAsia="仿宋_GB2312" w:cs="Times New Roman"/>
          <w:sz w:val="32"/>
          <w:szCs w:val="32"/>
          <w:lang w:val="en-US" w:eastAsia="zh-CN"/>
        </w:rPr>
        <w:t>、一般委托事项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cs="Times New Roman"/>
          <w:sz w:val="32"/>
          <w:szCs w:val="32"/>
          <w:lang w:val="en-US" w:eastAsia="zh-CN"/>
        </w:rPr>
        <w:t>1</w:t>
      </w:r>
      <w:r>
        <w:rPr>
          <w:rStyle w:val="14"/>
          <w:rFonts w:hint="eastAsia" w:ascii="仿宋_GB2312" w:hAnsi="宋体" w:eastAsia="仿宋_GB2312"/>
          <w:sz w:val="32"/>
          <w:szCs w:val="32"/>
          <w:lang w:val="en-US" w:eastAsia="zh-CN"/>
        </w:rPr>
        <w:t>、甲方</w:t>
      </w:r>
      <w:r>
        <w:rPr>
          <w:rStyle w:val="14"/>
          <w:rFonts w:hint="eastAsia" w:ascii="仿宋_GB2312" w:hAnsi="宋体" w:eastAsia="仿宋_GB2312"/>
          <w:sz w:val="32"/>
          <w:szCs w:val="32"/>
          <w:lang w:val="en-US" w:eastAsia="zh-CN"/>
        </w:rPr>
        <w:t>委</w:t>
      </w:r>
      <w:bookmarkStart w:id="1" w:name="_GoBack"/>
      <w:r>
        <w:rPr>
          <w:rStyle w:val="14"/>
          <w:rFonts w:hint="eastAsia" w:ascii="仿宋_GB2312" w:hAnsi="宋体" w:eastAsia="仿宋_GB2312"/>
          <w:sz w:val="32"/>
          <w:szCs w:val="32"/>
          <w:lang w:val="en-US" w:eastAsia="zh-CN"/>
        </w:rPr>
        <w:t>托参与受让枣庄市行政事业国有资产运营中心所属资产处置B、C包</w:t>
      </w:r>
      <w:r>
        <w:rPr>
          <w:rStyle w:val="14"/>
          <w:rFonts w:hint="eastAsia" w:ascii="仿宋_GB2312" w:hAnsi="宋体" w:eastAsia="仿宋_GB2312"/>
          <w:sz w:val="32"/>
          <w:szCs w:val="32"/>
          <w:lang w:val="en-US" w:eastAsia="zh-CN"/>
        </w:rPr>
        <w:t>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sz w:val="32"/>
          <w:szCs w:val="32"/>
          <w:lang w:val="en-US" w:eastAsia="zh-CN"/>
        </w:rPr>
        <w:t>2、具体服务内</w:t>
      </w:r>
      <w:bookmarkEnd w:id="1"/>
      <w:r>
        <w:rPr>
          <w:rStyle w:val="14"/>
          <w:rFonts w:hint="eastAsia" w:ascii="仿宋_GB2312" w:hAnsi="宋体" w:eastAsia="仿宋_GB2312" w:cs="Times New Roman"/>
          <w:sz w:val="32"/>
          <w:szCs w:val="32"/>
          <w:lang w:val="en-US" w:eastAsia="zh-CN"/>
        </w:rPr>
        <w:t>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（1）向甲方提供有关</w:t>
      </w:r>
      <w:r>
        <w:rPr>
          <w:rStyle w:val="14"/>
          <w:rFonts w:ascii="仿宋_GB2312" w:hAnsi="宋体" w:eastAsia="仿宋_GB2312"/>
          <w:sz w:val="32"/>
          <w:szCs w:val="32"/>
        </w:rPr>
        <w:t>法律、法规、政策及产权交易的专业咨询服务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2024年10月29日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6C9138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9BBE2F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E2C7EF9">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BEF3424">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56A7465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default" w:eastAsia="微软雅黑"/>
          <w:sz w:val="36"/>
          <w:szCs w:val="36"/>
          <w:lang w:val="en-US" w:eastAsia="zh-CN"/>
        </w:rPr>
      </w:pPr>
      <w:r>
        <w:rPr>
          <w:rFonts w:hint="eastAsia"/>
          <w:sz w:val="36"/>
          <w:szCs w:val="36"/>
          <w:lang w:val="en-US" w:eastAsia="zh-CN"/>
        </w:rPr>
        <w:t>项目名称：</w:t>
      </w:r>
      <w:r>
        <w:rPr>
          <w:rFonts w:ascii="微软雅黑" w:hAnsi="微软雅黑" w:eastAsia="微软雅黑" w:cs="微软雅黑"/>
          <w:i w:val="0"/>
          <w:iCs w:val="0"/>
          <w:caps w:val="0"/>
          <w:color w:val="222222"/>
          <w:spacing w:val="0"/>
          <w:sz w:val="24"/>
          <w:szCs w:val="24"/>
          <w:shd w:val="clear" w:fill="FFFFFF"/>
        </w:rPr>
        <w:t>枣庄市行政事业国有资产运营中心所属资产处置-</w:t>
      </w:r>
      <w:r>
        <w:rPr>
          <w:rFonts w:hint="eastAsia" w:ascii="微软雅黑" w:hAnsi="微软雅黑" w:eastAsia="微软雅黑" w:cs="微软雅黑"/>
          <w:i w:val="0"/>
          <w:iCs w:val="0"/>
          <w:caps w:val="0"/>
          <w:color w:val="222222"/>
          <w:spacing w:val="0"/>
          <w:sz w:val="24"/>
          <w:szCs w:val="24"/>
          <w:shd w:val="clear" w:fill="FFFFFF"/>
          <w:lang w:val="en-US" w:eastAsia="zh-CN"/>
        </w:rPr>
        <w:t>B、C包</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8646B9"/>
    <w:rsid w:val="24A62F7F"/>
    <w:rsid w:val="24BC54EC"/>
    <w:rsid w:val="26A213C4"/>
    <w:rsid w:val="27AE56CC"/>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20A41F6"/>
    <w:rsid w:val="327E09D6"/>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1F4203"/>
    <w:rsid w:val="447A7CAF"/>
    <w:rsid w:val="44DD7429"/>
    <w:rsid w:val="45E72361"/>
    <w:rsid w:val="463B0CD6"/>
    <w:rsid w:val="46496788"/>
    <w:rsid w:val="46525967"/>
    <w:rsid w:val="4690053B"/>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2AF2069"/>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6D2DDD"/>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6248</Words>
  <Characters>6362</Characters>
  <Lines>29</Lines>
  <Paragraphs>8</Paragraphs>
  <TotalTime>1</TotalTime>
  <ScaleCrop>false</ScaleCrop>
  <LinksUpToDate>false</LinksUpToDate>
  <CharactersWithSpaces>6499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2024-10-21T06:19:00Z</cp:lastPrinted>
  <dcterms:modified xsi:type="dcterms:W3CDTF">2024-10-29T09:11:54Z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B01E1E2D479749B9BD5D08B53A80077E_13</vt:lpwstr>
  </property>
</Properties>
</file>