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枣庄市公共交通集团有限公司：</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我方就参与枣庄交运投资集团有限公司所属枣庄市公共交通集团有限公司87台报废车辆处置项目（项目编号LNGZ2024-69）网络竞价活动作出如下承诺：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挂牌底价245.2336万元，购买在中心公开挂牌转让的该项目。</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120万元。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十、我方同意，被确定为受让方后我方违约的，按照挂牌价格的10%向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枣庄交运投资集团有限公司所属枣庄市公共交通集团有限公司87台报废车辆处置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项目（项目编号LNGZ2024-69《资产转让网络竞价须知》以下简称“《须知》”）依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该标的为报废车辆,包括73台公交车辆和14台客运车辆，由于车辆老旧锈蚀、线路老化、磨损严重、故障率较高，已达到报废标准，截至评估基准日处于待报废停用状态，部分车辆的部件有缺失，部分行驶证已灭失。标的评估价值2452336元，挂牌底价2452336元。 本次转让标的明细详见以下附件资料。</w:t>
      </w:r>
      <w:r>
        <w:rPr>
          <w:rFonts w:hint="eastAsia" w:ascii="微软雅黑" w:hAnsi="微软雅黑" w:eastAsia="微软雅黑" w:cs="微软雅黑"/>
          <w:i w:val="0"/>
          <w:iCs w:val="0"/>
          <w:caps w:val="0"/>
          <w:color w:val="000000"/>
          <w:spacing w:val="0"/>
          <w:sz w:val="27"/>
          <w:szCs w:val="27"/>
          <w:shd w:val="clear" w:fill="FFFFFF"/>
        </w:rPr>
        <w:t>车重以交付实重为准，意向受让方需明确报废车辆真实现状。转让方已对标的资料进行了全面如实的披露，并不表明能够对标的所有瑕疵，特别是隐蔽的瑕疵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未查看标的竞买人，一经报名即视为对本标的实物现状的确认，完全了解与认可转让标的状况以及可能存在的瑕疵等一切内容。受让方提车后即为车辆所有人，无论办理销户与否，都将承担与车辆有关的一切法律责任,因车辆拖运、注销、登记手续办理所产生的一切费用均由受让方承担。资产清单详见山东祥正机动车鉴定评估有限公司山详鉴评报字（2024）第009号评估报告。</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特别提示：由于车辆停放一定时间可能存在的车胎漏气、燃气不足和电瓶以及其它可能存在的部件及备品损坏、缺失等现象，竞买成交后，受让方不得以此为理由要求退换交易标的，成交价和交易服务费不作调整。</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与转让相关的其他条件</w:t>
      </w:r>
      <w:r>
        <w:rPr>
          <w:rFonts w:hint="eastAsia" w:ascii="微软雅黑" w:hAnsi="微软雅黑" w:eastAsia="微软雅黑" w:cs="微软雅黑"/>
          <w:i w:val="0"/>
          <w:iCs w:val="0"/>
          <w:caps w:val="0"/>
          <w:color w:val="000000"/>
          <w:spacing w:val="0"/>
          <w:sz w:val="27"/>
          <w:szCs w:val="27"/>
          <w:shd w:val="clear" w:fill="FFFFFF"/>
        </w:rPr>
        <w:t>：1</w:t>
      </w:r>
      <w:r>
        <w:rPr>
          <w:rFonts w:ascii="微软雅黑" w:hAnsi="微软雅黑" w:eastAsia="微软雅黑" w:cs="微软雅黑"/>
          <w:i w:val="0"/>
          <w:iCs w:val="0"/>
          <w:caps w:val="0"/>
          <w:color w:val="000000"/>
          <w:spacing w:val="0"/>
          <w:sz w:val="27"/>
          <w:szCs w:val="27"/>
          <w:shd w:val="clear" w:fill="FFFFFF"/>
        </w:rPr>
        <w:t>、意向受让方须承诺自成交之日起3个工作日内一次性缴纳成交价款及佣金并签订《资产交易合同》。本次竞拍成交后，受让方缴纳的报名保证金转为履约保证金。</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2、意向受让方须承诺，成功受让本次转让车辆后，仅用于报废处理，不得上路行驶或另作它用。车辆办理销户时间为成交后十个工作日内，自行办理车辆销户过程中涉及的保险、违章处理及年审等手续，并承担由此产生的所有费用（含补交的费用）。销户后，受让方需将报废车辆的《机动车注销证明书》和《报废机动车回收证明》报至枣庄市公共交通集团有限公司。转让方仅以提供现有资料为其应尽的协助配合义务，其他事宜均应由受让方办理。</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3、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4、成交后，受让方如不能按公告约定缴纳尾款，视为违约且自愿放弃受让资格，并扣除该项目保证金和承担相应法律责任。保证金金额不足以弥补违约造成的损失的，转让方可以向受让方进行追偿。</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为245.2336万元。</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ind w:firstLine="2209" w:firstLineChars="500"/>
        <w:jc w:val="both"/>
        <w:rPr>
          <w:rFonts w:hint="eastAsia"/>
          <w:b/>
          <w:sz w:val="44"/>
          <w:szCs w:val="44"/>
        </w:rPr>
      </w:pPr>
    </w:p>
    <w:p>
      <w:pPr>
        <w:ind w:firstLine="5700" w:firstLineChars="19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ind w:firstLine="5700" w:firstLineChars="19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pPr>
        <w:spacing w:line="500" w:lineRule="exact"/>
        <w:ind w:firstLine="560" w:firstLineChars="200"/>
        <w:rPr>
          <w:rFonts w:hint="eastAsia" w:ascii="宋体" w:hAnsi="宋体" w:eastAsia="宋体" w:cs="Times New Roman"/>
          <w:bCs/>
          <w:sz w:val="28"/>
          <w:lang w:val="en-US" w:eastAsia="zh-CN"/>
        </w:rPr>
      </w:pPr>
    </w:p>
    <w:p>
      <w:pPr>
        <w:spacing w:line="500" w:lineRule="exact"/>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就枣庄交运投资集团有限公司所属枣庄市公共交通集团有限公司87台报废车辆处置一事，本公司（本人）已前往现场进行实地勘察。</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ind w:firstLine="2650" w:firstLineChars="600"/>
        <w:rPr>
          <w:rFonts w:hint="default"/>
          <w:b/>
          <w:bCs/>
          <w:sz w:val="44"/>
          <w:szCs w:val="44"/>
          <w:lang w:val="en-US" w:eastAsia="zh-CN"/>
        </w:rPr>
      </w:pPr>
      <w:r>
        <w:rPr>
          <w:rFonts w:hint="eastAsia"/>
          <w:b/>
          <w:bCs/>
          <w:sz w:val="44"/>
          <w:szCs w:val="44"/>
          <w:lang w:val="en-US" w:eastAsia="zh-CN"/>
        </w:rPr>
        <w:t>保证金退款申请</w:t>
      </w:r>
    </w:p>
    <w:p>
      <w:pPr>
        <w:rPr>
          <w:rFonts w:hint="eastAsia"/>
          <w:sz w:val="36"/>
          <w:szCs w:val="3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ascii="微软雅黑" w:hAnsi="微软雅黑" w:eastAsia="微软雅黑" w:cs="微软雅黑"/>
          <w:i w:val="0"/>
          <w:iCs w:val="0"/>
          <w:caps w:val="0"/>
          <w:color w:val="222222"/>
          <w:spacing w:val="0"/>
          <w:sz w:val="45"/>
          <w:szCs w:val="45"/>
          <w:shd w:val="clear" w:fill="FFFFFF"/>
        </w:rPr>
      </w:pPr>
      <w:r>
        <w:rPr>
          <w:rFonts w:hint="eastAsia"/>
          <w:sz w:val="36"/>
          <w:szCs w:val="36"/>
          <w:lang w:val="en-US" w:eastAsia="zh-CN"/>
        </w:rPr>
        <w:t>项目名称：枣庄交运投资集团有限公司所属枣庄市公共交通集团有限公司87台报废车辆处置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pPr>
        <w:ind w:firstLine="5400" w:firstLineChars="1500"/>
        <w:rPr>
          <w:rFonts w:hint="eastAsia"/>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pPr>
        <w:snapToGrid w:val="0"/>
        <w:spacing w:line="500" w:lineRule="atLeast"/>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hint="eastAsia" w:ascii="仿宋_GB2312" w:hAnsi="宋体" w:eastAsia="仿宋_GB2312"/>
          <w:bCs/>
          <w:sz w:val="32"/>
          <w:szCs w:val="32"/>
          <w:lang w:val="en-US" w:eastAsia="zh-CN"/>
        </w:rPr>
      </w:pP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ascii="仿宋_GB2312" w:hAnsi="宋体" w:eastAsia="仿宋_GB2312"/>
          <w:bCs/>
          <w:sz w:val="32"/>
          <w:szCs w:val="32"/>
        </w:rPr>
      </w:pPr>
      <w:r>
        <w:rPr>
          <w:rStyle w:val="13"/>
          <w:rFonts w:ascii="仿宋_GB2312" w:hAnsi="宋体" w:eastAsia="仿宋_GB2312"/>
          <w:bCs/>
          <w:sz w:val="32"/>
          <w:szCs w:val="32"/>
        </w:rPr>
        <w:t>地址：</w:t>
      </w: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ascii="仿宋_GB2312" w:hAnsi="宋体" w:eastAsia="仿宋_GB2312"/>
          <w:bCs/>
          <w:sz w:val="32"/>
          <w:szCs w:val="32"/>
        </w:rPr>
      </w:pP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pPr>
        <w:keepNext w:val="0"/>
        <w:keepLines w:val="0"/>
        <w:pageBreakBefore w:val="0"/>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根据《中华人民共和国企业国有资产法》、《中华人民共和国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一、一般委托事项</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1、甲方委托参与受让枣庄交运投资集团有限公司所属枣庄市公共交通集团有限公司87台报废车辆处置项目的申请报名。</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2、具体服务内容：</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bCs/>
          <w:sz w:val="32"/>
          <w:szCs w:val="32"/>
        </w:rPr>
      </w:pPr>
      <w:r>
        <w:rPr>
          <w:rStyle w:val="13"/>
          <w:rFonts w:ascii="仿宋_GB2312" w:hAnsi="宋体" w:eastAsia="仿宋_GB2312"/>
          <w:bCs/>
          <w:sz w:val="32"/>
          <w:szCs w:val="32"/>
        </w:rPr>
        <w:t>二、委托期限</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2024年6月19日</w:t>
      </w:r>
      <w:r>
        <w:rPr>
          <w:rStyle w:val="13"/>
          <w:rFonts w:ascii="仿宋_GB2312" w:hAnsi="宋体" w:eastAsia="仿宋_GB2312"/>
          <w:bCs/>
          <w:sz w:val="32"/>
          <w:szCs w:val="32"/>
        </w:rPr>
        <w:t>起，至交易完成日止。</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bCs/>
          <w:sz w:val="32"/>
          <w:szCs w:val="32"/>
        </w:rPr>
      </w:pPr>
      <w:r>
        <w:rPr>
          <w:rStyle w:val="13"/>
          <w:rFonts w:ascii="仿宋_GB2312" w:hAnsi="宋体" w:eastAsia="仿宋_GB2312"/>
          <w:bCs/>
          <w:sz w:val="32"/>
          <w:szCs w:val="32"/>
        </w:rPr>
        <w:t>三、权利和义务</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color w:val="FF0000"/>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Style w:val="13"/>
          <w:rFonts w:hint="eastAsia" w:ascii="仿宋_GB2312" w:hAnsi="宋体" w:eastAsia="仿宋_GB2312"/>
          <w:sz w:val="32"/>
          <w:szCs w:val="32"/>
          <w:lang w:val="en-US" w:eastAsia="zh-CN"/>
        </w:rPr>
        <w:t>枣庄市公共资源国有产权交易有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限公司</w:t>
      </w:r>
      <w:r>
        <w:rPr>
          <w:rStyle w:val="13"/>
          <w:rFonts w:ascii="仿宋_GB2312" w:hAnsi="宋体" w:eastAsia="仿宋_GB2312"/>
          <w:sz w:val="32"/>
          <w:szCs w:val="32"/>
        </w:rPr>
        <w:t>的监管。</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四、双方的承诺</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交易合同签订后</w:t>
      </w:r>
      <w:r>
        <w:rPr>
          <w:rStyle w:val="13"/>
          <w:rFonts w:ascii="仿宋_GB2312" w:hAnsi="宋体" w:eastAsia="仿宋_GB2312"/>
          <w:sz w:val="32"/>
          <w:szCs w:val="32"/>
          <w:u w:val="single"/>
        </w:rPr>
        <w:t xml:space="preserve"> </w:t>
      </w:r>
      <w:r>
        <w:rPr>
          <w:rStyle w:val="13"/>
          <w:rFonts w:hint="eastAsia" w:ascii="仿宋_GB2312" w:hAnsi="宋体" w:eastAsia="仿宋_GB2312"/>
          <w:sz w:val="32"/>
          <w:szCs w:val="32"/>
          <w:u w:val="single"/>
          <w:lang w:val="en-US" w:eastAsia="zh-CN"/>
        </w:rPr>
        <w:t xml:space="preserve">3  </w:t>
      </w:r>
      <w:r>
        <w:rPr>
          <w:rStyle w:val="13"/>
          <w:rFonts w:ascii="仿宋_GB2312" w:hAnsi="宋体" w:eastAsia="仿宋_GB2312"/>
          <w:sz w:val="32"/>
          <w:szCs w:val="32"/>
        </w:rPr>
        <w:t xml:space="preserve"> 日内付清。</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bCs/>
          <w:sz w:val="32"/>
          <w:szCs w:val="32"/>
        </w:rPr>
      </w:pPr>
      <w:r>
        <w:rPr>
          <w:rStyle w:val="13"/>
          <w:rFonts w:hint="eastAsia" w:ascii="仿宋_GB2312" w:hAnsi="宋体" w:eastAsia="仿宋_GB2312"/>
          <w:bCs/>
          <w:sz w:val="32"/>
          <w:szCs w:val="32"/>
          <w:lang w:val="en-US"/>
        </w:rPr>
        <w:t>七</w:t>
      </w:r>
      <w:r>
        <w:rPr>
          <w:rStyle w:val="13"/>
          <w:rFonts w:ascii="仿宋_GB2312" w:hAnsi="宋体" w:eastAsia="仿宋_GB2312"/>
          <w:bCs/>
          <w:sz w:val="32"/>
          <w:szCs w:val="32"/>
        </w:rPr>
        <w:t>、违约责任</w:t>
      </w:r>
      <w:r>
        <w:rPr>
          <w:rStyle w:val="13"/>
          <w:rFonts w:hint="eastAsia" w:ascii="仿宋_GB2312" w:hAnsi="宋体" w:eastAsia="仿宋_GB2312"/>
          <w:bCs/>
          <w:sz w:val="32"/>
          <w:szCs w:val="32"/>
          <w:lang w:val="en-US" w:eastAsia="zh-CN"/>
        </w:rPr>
        <w:t>及</w:t>
      </w:r>
      <w:r>
        <w:rPr>
          <w:rStyle w:val="13"/>
          <w:rFonts w:ascii="仿宋_GB2312" w:hAnsi="宋体" w:eastAsia="仿宋_GB2312"/>
          <w:bCs/>
          <w:sz w:val="32"/>
          <w:szCs w:val="32"/>
        </w:rPr>
        <w:t>其他内容</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bCs/>
          <w:sz w:val="32"/>
          <w:szCs w:val="32"/>
        </w:rPr>
        <w:t>本合同项下的任何修改、补充或解除，均应采取书面形式。</w:t>
      </w:r>
      <w:bookmarkStart w:id="0" w:name="_GoBack"/>
      <w:bookmarkEnd w:id="0"/>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20" w:lineRule="exact"/>
        <w:textAlignment w:val="auto"/>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pPr>
        <w:keepNext w:val="0"/>
        <w:keepLines w:val="0"/>
        <w:pageBreakBefore w:val="0"/>
        <w:kinsoku/>
        <w:wordWrap/>
        <w:overflowPunct/>
        <w:topLinePunct w:val="0"/>
        <w:autoSpaceDE/>
        <w:autoSpaceDN/>
        <w:bidi w:val="0"/>
        <w:adjustRightInd/>
        <w:snapToGrid w:val="0"/>
        <w:spacing w:line="520" w:lineRule="exact"/>
        <w:ind w:firstLine="1280" w:firstLineChars="400"/>
        <w:textAlignment w:val="auto"/>
        <w:rPr>
          <w:rStyle w:val="13"/>
          <w:rFonts w:ascii="仿宋_GB2312" w:hAnsi="宋体"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sz w:val="36"/>
          <w:szCs w:val="36"/>
          <w:lang w:val="en-US" w:eastAsia="zh-CN"/>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pStyle w:val="11"/>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B26178"/>
    <w:rsid w:val="05410ECA"/>
    <w:rsid w:val="06FC0635"/>
    <w:rsid w:val="07536A57"/>
    <w:rsid w:val="07C12EEC"/>
    <w:rsid w:val="07DC7C33"/>
    <w:rsid w:val="08832ECD"/>
    <w:rsid w:val="09347D7B"/>
    <w:rsid w:val="0B2C17A1"/>
    <w:rsid w:val="0CFC249C"/>
    <w:rsid w:val="0DE37470"/>
    <w:rsid w:val="0FB805E7"/>
    <w:rsid w:val="115B4B8E"/>
    <w:rsid w:val="123D2CC6"/>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74A4EE7"/>
    <w:rsid w:val="38653434"/>
    <w:rsid w:val="38DF0CF8"/>
    <w:rsid w:val="39BD1836"/>
    <w:rsid w:val="3A4A1178"/>
    <w:rsid w:val="3AA651BA"/>
    <w:rsid w:val="3B007A89"/>
    <w:rsid w:val="3B4B668C"/>
    <w:rsid w:val="3B950B19"/>
    <w:rsid w:val="3C684D7B"/>
    <w:rsid w:val="3CD4741F"/>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5204C6D"/>
    <w:rsid w:val="55FD1275"/>
    <w:rsid w:val="57F10A2D"/>
    <w:rsid w:val="585F22BD"/>
    <w:rsid w:val="58D647F4"/>
    <w:rsid w:val="598D401B"/>
    <w:rsid w:val="5C9242E7"/>
    <w:rsid w:val="5D7A3273"/>
    <w:rsid w:val="5E2F764F"/>
    <w:rsid w:val="5E8178D4"/>
    <w:rsid w:val="5F857756"/>
    <w:rsid w:val="5F8C4FB9"/>
    <w:rsid w:val="5FFD636B"/>
    <w:rsid w:val="60A32AE1"/>
    <w:rsid w:val="62736998"/>
    <w:rsid w:val="64DC5168"/>
    <w:rsid w:val="670247F8"/>
    <w:rsid w:val="67BB4A9E"/>
    <w:rsid w:val="685A03B0"/>
    <w:rsid w:val="687A05CB"/>
    <w:rsid w:val="696705A5"/>
    <w:rsid w:val="697A2F79"/>
    <w:rsid w:val="6C3C56BD"/>
    <w:rsid w:val="6C6D2DDD"/>
    <w:rsid w:val="6E254F3D"/>
    <w:rsid w:val="73562913"/>
    <w:rsid w:val="738E2D01"/>
    <w:rsid w:val="73D47464"/>
    <w:rsid w:val="74BE4AF6"/>
    <w:rsid w:val="753F6E24"/>
    <w:rsid w:val="75A608B7"/>
    <w:rsid w:val="76007881"/>
    <w:rsid w:val="767501BA"/>
    <w:rsid w:val="76AD58CB"/>
    <w:rsid w:val="7755061C"/>
    <w:rsid w:val="775C4193"/>
    <w:rsid w:val="77661986"/>
    <w:rsid w:val="77A309EC"/>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5534</Words>
  <Characters>5645</Characters>
  <Lines>29</Lines>
  <Paragraphs>8</Paragraphs>
  <TotalTime>1</TotalTime>
  <ScaleCrop>false</ScaleCrop>
  <LinksUpToDate>false</LinksUpToDate>
  <CharactersWithSpaces>5862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2024-05-29T04:03:00Z</cp:lastPrinted>
  <dcterms:modified xsi:type="dcterms:W3CDTF">2024-06-19T02:00:20Z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024DA35DABF441A5A191397C00FB5DBC</vt:lpwstr>
  </property>
</Properties>
</file>