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91B90F">
      <w:pPr>
        <w:keepNext w:val="0"/>
        <w:keepLines w:val="0"/>
        <w:pageBreakBefore w:val="0"/>
        <w:widowControl/>
        <w:kinsoku/>
        <w:wordWrap/>
        <w:overflowPunct/>
        <w:topLinePunct w:val="0"/>
        <w:autoSpaceDE/>
        <w:autoSpaceDN/>
        <w:bidi w:val="0"/>
        <w:snapToGrid w:val="0"/>
        <w:spacing w:line="560" w:lineRule="exact"/>
        <w:jc w:val="center"/>
        <w:textAlignment w:val="auto"/>
        <w:rPr>
          <w:rFonts w:hint="eastAsia" w:ascii="仿宋" w:hAnsi="仿宋" w:eastAsia="仿宋" w:cs="仿宋"/>
          <w:b/>
          <w:bCs w:val="0"/>
          <w:color w:val="0D0D0D" w:themeColor="text1" w:themeTint="F2"/>
          <w:sz w:val="44"/>
          <w:szCs w:val="44"/>
          <w14:textFill>
            <w14:solidFill>
              <w14:schemeClr w14:val="tx1">
                <w14:lumMod w14:val="95000"/>
                <w14:lumOff w14:val="5000"/>
              </w14:schemeClr>
            </w14:solidFill>
          </w14:textFill>
        </w:rPr>
      </w:pPr>
      <w:r>
        <w:rPr>
          <w:rFonts w:hint="eastAsia" w:ascii="仿宋" w:hAnsi="仿宋" w:eastAsia="仿宋" w:cs="仿宋"/>
          <w:b/>
          <w:bCs w:val="0"/>
          <w:color w:val="0D0D0D" w:themeColor="text1" w:themeTint="F2"/>
          <w:sz w:val="44"/>
          <w:szCs w:val="44"/>
          <w14:textFill>
            <w14:solidFill>
              <w14:schemeClr w14:val="tx1">
                <w14:lumMod w14:val="95000"/>
                <w14:lumOff w14:val="5000"/>
              </w14:schemeClr>
            </w14:solidFill>
          </w14:textFill>
        </w:rPr>
        <w:t>网络竞价承诺函</w:t>
      </w:r>
    </w:p>
    <w:p w14:paraId="14853AE1">
      <w:pPr>
        <w:pStyle w:val="13"/>
        <w:keepNext w:val="0"/>
        <w:keepLines w:val="0"/>
        <w:pageBreakBefore w:val="0"/>
        <w:kinsoku/>
        <w:wordWrap/>
        <w:overflowPunct/>
        <w:topLinePunct w:val="0"/>
        <w:autoSpaceDE/>
        <w:autoSpaceDN/>
        <w:bidi w:val="0"/>
        <w:spacing w:line="440" w:lineRule="exact"/>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pPr>
    </w:p>
    <w:p w14:paraId="5FBAE3AC">
      <w:pPr>
        <w:pStyle w:val="13"/>
        <w:keepNext w:val="0"/>
        <w:keepLines w:val="0"/>
        <w:pageBreakBefore w:val="0"/>
        <w:kinsoku/>
        <w:wordWrap/>
        <w:overflowPunct/>
        <w:topLinePunct w:val="0"/>
        <w:autoSpaceDE/>
        <w:autoSpaceDN/>
        <w:bidi w:val="0"/>
        <w:adjustRightInd/>
        <w:spacing w:line="400" w:lineRule="exact"/>
        <w:textAlignment w:val="auto"/>
        <w:rPr>
          <w:rFonts w:hint="eastAsia" w:ascii="仿宋" w:hAnsi="仿宋" w:eastAsia="仿宋" w:cs="仿宋"/>
          <w:color w:val="0D0D0D" w:themeColor="text1" w:themeTint="F2"/>
          <w:kern w:val="0"/>
          <w:sz w:val="21"/>
          <w:szCs w:val="21"/>
          <w:lang w:val="en-US" w:eastAsia="zh-CN" w:bidi="ar-SA"/>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1"/>
          <w:szCs w:val="21"/>
          <w:lang w:val="en-US" w:eastAsia="zh-CN" w:bidi="ar-SA"/>
          <w14:textFill>
            <w14:solidFill>
              <w14:schemeClr w14:val="tx1">
                <w14:lumMod w14:val="95000"/>
                <w14:lumOff w14:val="5000"/>
              </w14:schemeClr>
            </w14:solidFill>
          </w14:textFill>
        </w:rPr>
        <w:t>京沪高铁枣庄站站前服务中心：</w:t>
      </w:r>
    </w:p>
    <w:p w14:paraId="3DE7F206">
      <w:pPr>
        <w:keepNext w:val="0"/>
        <w:keepLines w:val="0"/>
        <w:pageBreakBefore w:val="0"/>
        <w:widowControl/>
        <w:kinsoku/>
        <w:wordWrap/>
        <w:overflowPunct/>
        <w:topLinePunct w:val="0"/>
        <w:autoSpaceDE/>
        <w:autoSpaceDN/>
        <w:bidi w:val="0"/>
        <w:adjustRightInd/>
        <w:spacing w:line="400" w:lineRule="exact"/>
        <w:jc w:val="left"/>
        <w:textAlignment w:val="auto"/>
        <w:rPr>
          <w:rFonts w:hint="eastAsia" w:ascii="仿宋" w:hAnsi="仿宋" w:eastAsia="仿宋" w:cs="仿宋"/>
          <w:color w:val="0D0D0D" w:themeColor="text1" w:themeTint="F2"/>
          <w:kern w:val="0"/>
          <w:sz w:val="21"/>
          <w:szCs w:val="21"/>
          <w:lang w:val="en-US" w:eastAsia="zh-CN" w:bidi="ar-SA"/>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1"/>
          <w:szCs w:val="21"/>
          <w:lang w:val="en-US" w:eastAsia="zh-CN" w:bidi="ar-SA"/>
          <w14:textFill>
            <w14:solidFill>
              <w14:schemeClr w14:val="tx1">
                <w14:lumMod w14:val="95000"/>
                <w14:lumOff w14:val="5000"/>
              </w14:schemeClr>
            </w14:solidFill>
          </w14:textFill>
        </w:rPr>
        <w:t>枣庄</w:t>
      </w:r>
      <w:r>
        <w:rPr>
          <w:rFonts w:hint="eastAsia" w:ascii="仿宋" w:hAnsi="仿宋" w:eastAsia="仿宋" w:cs="仿宋"/>
          <w:color w:val="0D0D0D" w:themeColor="text1" w:themeTint="F2"/>
          <w:kern w:val="0"/>
          <w:sz w:val="21"/>
          <w:szCs w:val="21"/>
          <w:lang w:val="en-US" w:eastAsia="zh-CN" w:bidi="ar-SA"/>
          <w14:textFill>
            <w14:solidFill>
              <w14:schemeClr w14:val="tx1">
                <w14:lumMod w14:val="95000"/>
                <w14:lumOff w14:val="5000"/>
              </w14:schemeClr>
            </w14:solidFill>
          </w14:textFill>
        </w:rPr>
        <w:t>市公共资源国有产权交易有限公司：</w:t>
      </w:r>
    </w:p>
    <w:p w14:paraId="455ABD9D">
      <w:pPr>
        <w:keepNext w:val="0"/>
        <w:keepLines w:val="0"/>
        <w:pageBreakBefore w:val="0"/>
        <w:widowControl/>
        <w:kinsoku/>
        <w:wordWrap/>
        <w:overflowPunct/>
        <w:topLinePunct w:val="0"/>
        <w:autoSpaceDE/>
        <w:autoSpaceDN/>
        <w:bidi w:val="0"/>
        <w:adjustRightInd/>
        <w:spacing w:line="400" w:lineRule="exact"/>
        <w:ind w:firstLine="420" w:firstLineChars="200"/>
        <w:jc w:val="left"/>
        <w:textAlignment w:val="auto"/>
        <w:rPr>
          <w:rFonts w:hint="eastAsia" w:ascii="仿宋" w:hAnsi="仿宋" w:eastAsia="仿宋" w:cs="仿宋"/>
          <w:color w:val="0D0D0D" w:themeColor="text1" w:themeTint="F2"/>
          <w:kern w:val="0"/>
          <w:sz w:val="21"/>
          <w:szCs w:val="21"/>
          <w:lang w:val="en-US" w:eastAsia="zh-CN" w:bidi="ar-SA"/>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1"/>
          <w:szCs w:val="21"/>
          <w:lang w:val="en-US" w:eastAsia="zh-CN" w:bidi="ar-SA"/>
          <w14:textFill>
            <w14:solidFill>
              <w14:schemeClr w14:val="tx1">
                <w14:lumMod w14:val="95000"/>
                <w14:lumOff w14:val="5000"/>
              </w14:schemeClr>
            </w14:solidFill>
          </w14:textFill>
        </w:rPr>
        <w:t>我方就参与京沪高铁枣庄站站前服务中心所属报废固定资产处置项目（项目编号LNGZ2026-117）网络竞价活动作出如下承诺：</w:t>
      </w:r>
    </w:p>
    <w:p w14:paraId="03BC69C4">
      <w:pPr>
        <w:keepNext w:val="0"/>
        <w:keepLines w:val="0"/>
        <w:pageBreakBefore w:val="0"/>
        <w:widowControl/>
        <w:kinsoku/>
        <w:wordWrap/>
        <w:overflowPunct/>
        <w:topLinePunct w:val="0"/>
        <w:autoSpaceDE/>
        <w:autoSpaceDN/>
        <w:bidi w:val="0"/>
        <w:adjustRightInd/>
        <w:spacing w:line="400" w:lineRule="exact"/>
        <w:ind w:firstLine="420" w:firstLineChars="200"/>
        <w:jc w:val="left"/>
        <w:textAlignment w:val="auto"/>
        <w:rPr>
          <w:rFonts w:hint="eastAsia" w:ascii="仿宋" w:hAnsi="仿宋" w:eastAsia="仿宋" w:cs="仿宋"/>
          <w:color w:val="0D0D0D" w:themeColor="text1" w:themeTint="F2"/>
          <w:kern w:val="0"/>
          <w:sz w:val="21"/>
          <w:szCs w:val="21"/>
          <w:lang w:val="en-US" w:eastAsia="zh-CN" w:bidi="ar-SA"/>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1"/>
          <w:szCs w:val="21"/>
          <w:lang w:val="en-US" w:eastAsia="zh-CN" w:bidi="ar-SA"/>
          <w14:textFill>
            <w14:solidFill>
              <w14:schemeClr w14:val="tx1">
                <w14:lumMod w14:val="95000"/>
                <w14:lumOff w14:val="5000"/>
              </w14:schemeClr>
            </w14:solidFill>
          </w14:textFill>
        </w:rPr>
        <w:t>一、我方接受枣庄市公共资源国有产权交易有限公司采取网络竞价方式组织本次交易，对网络竞价的交易方式和规则已全面了解，自愿遵守本项目《资产转让网络竞价须知》等文件的相关约定。其中，网络竞价包含动态报价方式。</w:t>
      </w:r>
    </w:p>
    <w:p w14:paraId="17B73DDF">
      <w:pPr>
        <w:keepNext w:val="0"/>
        <w:keepLines w:val="0"/>
        <w:pageBreakBefore w:val="0"/>
        <w:widowControl/>
        <w:kinsoku/>
        <w:wordWrap/>
        <w:overflowPunct/>
        <w:topLinePunct w:val="0"/>
        <w:autoSpaceDE/>
        <w:autoSpaceDN/>
        <w:bidi w:val="0"/>
        <w:adjustRightInd/>
        <w:spacing w:line="400" w:lineRule="exact"/>
        <w:ind w:firstLine="420" w:firstLineChars="200"/>
        <w:jc w:val="left"/>
        <w:textAlignment w:val="auto"/>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1"/>
          <w:szCs w:val="21"/>
          <w:lang w:val="en-US" w:eastAsia="zh-CN" w:bidi="ar-SA"/>
          <w14:textFill>
            <w14:solidFill>
              <w14:schemeClr w14:val="tx1">
                <w14:lumMod w14:val="95000"/>
                <w14:lumOff w14:val="5000"/>
              </w14:schemeClr>
            </w14:solidFill>
          </w14:textFill>
        </w:rPr>
        <w:t>二、我方已仔细阅读并自愿遵</w:t>
      </w:r>
      <w:r>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t>守《山东产权交易中心资产交易规则》和《山东产权交易中心网络竞价实施办法》、《山东产权交易中心动态报价实施办法》。</w:t>
      </w:r>
    </w:p>
    <w:p w14:paraId="2C2309E4">
      <w:pPr>
        <w:keepNext w:val="0"/>
        <w:keepLines w:val="0"/>
        <w:pageBreakBefore w:val="0"/>
        <w:kinsoku/>
        <w:wordWrap/>
        <w:overflowPunct/>
        <w:topLinePunct w:val="0"/>
        <w:autoSpaceDE/>
        <w:autoSpaceDN/>
        <w:bidi w:val="0"/>
        <w:adjustRightInd/>
        <w:spacing w:line="400" w:lineRule="exact"/>
        <w:ind w:firstLine="420" w:firstLineChars="200"/>
        <w:textAlignment w:val="auto"/>
        <w:rPr>
          <w:rFonts w:hint="eastAsia" w:ascii="仿宋" w:hAnsi="仿宋" w:eastAsia="仿宋" w:cs="仿宋"/>
          <w:color w:val="0D0D0D" w:themeColor="text1" w:themeTint="F2"/>
          <w:kern w:val="0"/>
          <w:sz w:val="21"/>
          <w:szCs w:val="21"/>
          <w:lang w:eastAsia="zh-CN"/>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t>三、我方愿意以</w:t>
      </w:r>
      <w:r>
        <w:rPr>
          <w:rFonts w:hint="eastAsia" w:ascii="仿宋" w:hAnsi="仿宋" w:eastAsia="仿宋" w:cs="仿宋"/>
          <w:color w:val="0D0D0D" w:themeColor="text1" w:themeTint="F2"/>
          <w:kern w:val="0"/>
          <w:sz w:val="21"/>
          <w:szCs w:val="21"/>
          <w:lang w:val="en-US" w:eastAsia="zh-CN"/>
          <w14:textFill>
            <w14:solidFill>
              <w14:schemeClr w14:val="tx1">
                <w14:lumMod w14:val="95000"/>
                <w14:lumOff w14:val="5000"/>
              </w14:schemeClr>
            </w14:solidFill>
          </w14:textFill>
        </w:rPr>
        <w:t>不低0.1199</w:t>
      </w:r>
      <w:r>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t>万元</w:t>
      </w:r>
      <w:r>
        <w:rPr>
          <w:rFonts w:hint="eastAsia" w:ascii="仿宋" w:hAnsi="仿宋" w:eastAsia="仿宋" w:cs="仿宋"/>
          <w:color w:val="0D0D0D" w:themeColor="text1" w:themeTint="F2"/>
          <w:kern w:val="0"/>
          <w:sz w:val="21"/>
          <w:szCs w:val="21"/>
          <w:lang w:val="en-US" w:eastAsia="zh-CN"/>
          <w14:textFill>
            <w14:solidFill>
              <w14:schemeClr w14:val="tx1">
                <w14:lumMod w14:val="95000"/>
                <w14:lumOff w14:val="5000"/>
              </w14:schemeClr>
            </w14:solidFill>
          </w14:textFill>
        </w:rPr>
        <w:t>，购买</w:t>
      </w:r>
      <w:r>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t>在中心公开挂牌转让的该项目</w:t>
      </w:r>
      <w:r>
        <w:rPr>
          <w:rFonts w:hint="eastAsia" w:ascii="仿宋" w:hAnsi="仿宋" w:eastAsia="仿宋" w:cs="仿宋"/>
          <w:color w:val="0D0D0D" w:themeColor="text1" w:themeTint="F2"/>
          <w:kern w:val="0"/>
          <w:sz w:val="21"/>
          <w:szCs w:val="21"/>
          <w:lang w:eastAsia="zh-CN"/>
          <w14:textFill>
            <w14:solidFill>
              <w14:schemeClr w14:val="tx1">
                <w14:lumMod w14:val="95000"/>
                <w14:lumOff w14:val="5000"/>
              </w14:schemeClr>
            </w14:solidFill>
          </w14:textFill>
        </w:rPr>
        <w:t>。</w:t>
      </w:r>
    </w:p>
    <w:p w14:paraId="6F7DCA26">
      <w:pPr>
        <w:keepNext w:val="0"/>
        <w:keepLines w:val="0"/>
        <w:pageBreakBefore w:val="0"/>
        <w:kinsoku/>
        <w:wordWrap/>
        <w:overflowPunct/>
        <w:topLinePunct w:val="0"/>
        <w:autoSpaceDE/>
        <w:autoSpaceDN/>
        <w:bidi w:val="0"/>
        <w:adjustRightInd/>
        <w:spacing w:line="400" w:lineRule="exact"/>
        <w:ind w:firstLine="420" w:firstLineChars="200"/>
        <w:textAlignment w:val="auto"/>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t>四、我方对竞买行为负责，自行承担包括但不限于因所获取的标的信息不全面、误解等而产生的相应后果。</w:t>
      </w:r>
    </w:p>
    <w:p w14:paraId="117CDDCC">
      <w:pPr>
        <w:keepNext w:val="0"/>
        <w:keepLines w:val="0"/>
        <w:pageBreakBefore w:val="0"/>
        <w:widowControl/>
        <w:kinsoku/>
        <w:wordWrap/>
        <w:overflowPunct/>
        <w:topLinePunct w:val="0"/>
        <w:autoSpaceDE/>
        <w:autoSpaceDN/>
        <w:bidi w:val="0"/>
        <w:adjustRightInd/>
        <w:snapToGrid/>
        <w:spacing w:line="400" w:lineRule="exact"/>
        <w:ind w:firstLine="420" w:firstLineChars="200"/>
        <w:jc w:val="left"/>
        <w:textAlignment w:val="auto"/>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t>五、我方保证向中心提交的资料、披露的信息是真实、准确、完整、及时的，不存在虚假、误导性或重大遗漏。</w:t>
      </w:r>
    </w:p>
    <w:p w14:paraId="11372596">
      <w:pPr>
        <w:keepNext w:val="0"/>
        <w:keepLines w:val="0"/>
        <w:pageBreakBefore w:val="0"/>
        <w:widowControl/>
        <w:kinsoku/>
        <w:wordWrap/>
        <w:overflowPunct/>
        <w:topLinePunct w:val="0"/>
        <w:autoSpaceDE/>
        <w:autoSpaceDN/>
        <w:bidi w:val="0"/>
        <w:adjustRightInd/>
        <w:snapToGrid/>
        <w:spacing w:line="400" w:lineRule="exact"/>
        <w:ind w:firstLine="420" w:firstLineChars="200"/>
        <w:jc w:val="left"/>
        <w:textAlignment w:val="auto"/>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t>六、我方于本承诺函签署之前，向</w:t>
      </w:r>
      <w:r>
        <w:rPr>
          <w:rFonts w:hint="eastAsia" w:ascii="仿宋" w:hAnsi="仿宋" w:eastAsia="仿宋" w:cs="仿宋"/>
          <w:color w:val="0D0D0D" w:themeColor="text1" w:themeTint="F2"/>
          <w:kern w:val="0"/>
          <w:sz w:val="21"/>
          <w:szCs w:val="21"/>
          <w:lang w:val="en-US" w:eastAsia="zh-CN"/>
          <w14:textFill>
            <w14:solidFill>
              <w14:schemeClr w14:val="tx1">
                <w14:lumMod w14:val="95000"/>
                <w14:lumOff w14:val="5000"/>
              </w14:schemeClr>
            </w14:solidFill>
          </w14:textFill>
        </w:rPr>
        <w:t>枣庄市公共资源国有产权交易有限公司交纳购买该资产的交易保证金0.036万元，未经枣庄市公共资源国有产权交易有限公司同意，不得在确定</w:t>
      </w:r>
      <w:r>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t>受让方前退出报价活动或要求退回保证金。确定受让方后，我方未购买成功且无违约责任的，</w:t>
      </w:r>
      <w:r>
        <w:rPr>
          <w:rFonts w:hint="eastAsia" w:ascii="仿宋" w:hAnsi="仿宋" w:eastAsia="仿宋" w:cs="仿宋"/>
          <w:color w:val="0D0D0D" w:themeColor="text1" w:themeTint="F2"/>
          <w:kern w:val="0"/>
          <w:sz w:val="21"/>
          <w:szCs w:val="21"/>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t>于</w:t>
      </w:r>
      <w:r>
        <w:rPr>
          <w:rFonts w:hint="eastAsia" w:ascii="仿宋" w:hAnsi="仿宋" w:eastAsia="仿宋" w:cs="仿宋"/>
          <w:color w:val="0D0D0D" w:themeColor="text1" w:themeTint="F2"/>
          <w:kern w:val="0"/>
          <w:sz w:val="21"/>
          <w:szCs w:val="21"/>
          <w:lang w:val="en-US" w:eastAsia="zh-CN"/>
          <w14:textFill>
            <w14:solidFill>
              <w14:schemeClr w14:val="tx1">
                <w14:lumMod w14:val="95000"/>
                <w14:lumOff w14:val="5000"/>
              </w14:schemeClr>
            </w14:solidFill>
          </w14:textFill>
        </w:rPr>
        <w:t>5</w:t>
      </w:r>
      <w:r>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t>个工作日内将保证金无息退还。</w:t>
      </w:r>
    </w:p>
    <w:p w14:paraId="16B2568A">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仿宋" w:hAnsi="仿宋" w:eastAsia="仿宋" w:cs="仿宋"/>
          <w:color w:val="0D0D0D" w:themeColor="text1" w:themeTint="F2"/>
          <w:kern w:val="0"/>
          <w:sz w:val="21"/>
          <w:szCs w:val="21"/>
          <w:lang w:val="en-US" w:eastAsia="zh-CN"/>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t>七、我方承诺在网络竞价结束后，按《竞价结果通知书》的要求在3个工作日内与转让方签署《资产交易合同》，并于签订《资产交易合同》之日起5个工作日内支付成交价款及交易费用至中心指定账户（成交价款无息结算），其中</w:t>
      </w:r>
      <w:r>
        <w:rPr>
          <w:rFonts w:hint="eastAsia" w:ascii="仿宋" w:hAnsi="仿宋" w:eastAsia="仿宋" w:cs="仿宋"/>
          <w:color w:val="0D0D0D" w:themeColor="text1" w:themeTint="F2"/>
          <w:kern w:val="0"/>
          <w:sz w:val="21"/>
          <w:szCs w:val="21"/>
          <w:lang w:val="en-US" w:eastAsia="zh-CN"/>
          <w14:textFill>
            <w14:solidFill>
              <w14:schemeClr w14:val="tx1">
                <w14:lumMod w14:val="95000"/>
                <w14:lumOff w14:val="5000"/>
              </w14:schemeClr>
            </w14:solidFill>
          </w14:textFill>
        </w:rPr>
        <w:t>基础服务</w:t>
      </w:r>
      <w:r>
        <w:rPr>
          <w:rFonts w:hint="eastAsia" w:ascii="仿宋" w:hAnsi="仿宋" w:eastAsia="仿宋" w:cs="仿宋"/>
          <w:color w:val="0D0D0D" w:themeColor="text1" w:themeTint="F2"/>
          <w:kern w:val="0"/>
          <w:sz w:val="21"/>
          <w:szCs w:val="21"/>
          <w:lang w:eastAsia="zh-CN"/>
          <w14:textFill>
            <w14:solidFill>
              <w14:schemeClr w14:val="tx1">
                <w14:lumMod w14:val="95000"/>
                <w14:lumOff w14:val="5000"/>
              </w14:schemeClr>
            </w14:solidFill>
          </w14:textFill>
        </w:rPr>
        <w:t>费用</w:t>
      </w:r>
      <w:r>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t>按成</w:t>
      </w:r>
      <w:r>
        <w:rPr>
          <w:rFonts w:hint="eastAsia" w:ascii="仿宋" w:hAnsi="仿宋" w:eastAsia="仿宋" w:cs="仿宋"/>
          <w:color w:val="0000FF"/>
          <w:kern w:val="0"/>
          <w:sz w:val="21"/>
          <w:szCs w:val="21"/>
        </w:rPr>
        <w:t>交</w:t>
      </w:r>
      <w:r>
        <w:rPr>
          <w:rFonts w:hint="eastAsia" w:ascii="仿宋" w:hAnsi="仿宋" w:eastAsia="仿宋" w:cs="仿宋"/>
          <w:color w:val="0000FF"/>
          <w:kern w:val="0"/>
          <w:sz w:val="21"/>
          <w:szCs w:val="21"/>
          <w:lang w:eastAsia="zh-CN"/>
        </w:rPr>
        <w:t>额</w:t>
      </w:r>
      <w:r>
        <w:rPr>
          <w:rFonts w:hint="eastAsia" w:ascii="仿宋" w:hAnsi="仿宋" w:eastAsia="仿宋" w:cs="仿宋"/>
          <w:color w:val="0000FF"/>
          <w:kern w:val="0"/>
          <w:sz w:val="21"/>
          <w:szCs w:val="21"/>
        </w:rPr>
        <w:t>的</w:t>
      </w:r>
      <w:r>
        <w:rPr>
          <w:rFonts w:hint="eastAsia" w:ascii="仿宋" w:hAnsi="仿宋" w:eastAsia="仿宋" w:cs="仿宋"/>
          <w:color w:val="0000FF"/>
          <w:kern w:val="0"/>
          <w:sz w:val="21"/>
          <w:szCs w:val="21"/>
          <w:lang w:val="en-US" w:eastAsia="zh-CN"/>
        </w:rPr>
        <w:t>1</w:t>
      </w:r>
      <w:r>
        <w:rPr>
          <w:rFonts w:hint="eastAsia" w:ascii="仿宋" w:hAnsi="仿宋" w:eastAsia="仿宋" w:cs="仿宋"/>
          <w:color w:val="0000FF"/>
          <w:kern w:val="0"/>
          <w:sz w:val="21"/>
          <w:szCs w:val="21"/>
        </w:rPr>
        <w:t>‰收取，竞价佣金按</w:t>
      </w:r>
      <w:r>
        <w:rPr>
          <w:rFonts w:hint="eastAsia" w:ascii="仿宋" w:hAnsi="仿宋" w:eastAsia="仿宋" w:cs="仿宋"/>
          <w:color w:val="0000FF"/>
          <w:kern w:val="0"/>
          <w:sz w:val="21"/>
          <w:szCs w:val="21"/>
          <w:lang w:val="en-US" w:eastAsia="zh-CN"/>
        </w:rPr>
        <w:t>转让底价</w:t>
      </w:r>
      <w:r>
        <w:rPr>
          <w:rFonts w:hint="eastAsia" w:ascii="仿宋" w:hAnsi="仿宋" w:eastAsia="仿宋" w:cs="仿宋"/>
          <w:color w:val="0000FF"/>
          <w:kern w:val="0"/>
          <w:sz w:val="21"/>
          <w:szCs w:val="21"/>
        </w:rPr>
        <w:t>的</w:t>
      </w:r>
      <w:r>
        <w:rPr>
          <w:rFonts w:hint="eastAsia" w:ascii="仿宋" w:hAnsi="仿宋" w:eastAsia="仿宋" w:cs="仿宋"/>
          <w:color w:val="0000FF"/>
          <w:kern w:val="0"/>
          <w:sz w:val="21"/>
          <w:szCs w:val="21"/>
          <w:lang w:val="en-US" w:eastAsia="zh-CN"/>
        </w:rPr>
        <w:t>3</w:t>
      </w:r>
      <w:r>
        <w:rPr>
          <w:rFonts w:hint="eastAsia" w:ascii="仿宋" w:hAnsi="仿宋" w:eastAsia="仿宋" w:cs="仿宋"/>
          <w:color w:val="0000FF"/>
          <w:kern w:val="0"/>
          <w:sz w:val="21"/>
          <w:szCs w:val="21"/>
        </w:rPr>
        <w:t>%收取</w:t>
      </w:r>
      <w:r>
        <w:rPr>
          <w:rFonts w:hint="eastAsia" w:ascii="仿宋" w:hAnsi="仿宋" w:eastAsia="仿宋" w:cs="仿宋"/>
          <w:color w:val="0000FF"/>
          <w:kern w:val="0"/>
          <w:sz w:val="21"/>
          <w:szCs w:val="21"/>
          <w:lang w:eastAsia="zh-CN"/>
        </w:rPr>
        <w:t>。</w:t>
      </w:r>
    </w:p>
    <w:p w14:paraId="7411A538">
      <w:pPr>
        <w:keepNext w:val="0"/>
        <w:keepLines w:val="0"/>
        <w:pageBreakBefore w:val="0"/>
        <w:widowControl/>
        <w:kinsoku/>
        <w:wordWrap/>
        <w:overflowPunct/>
        <w:topLinePunct w:val="0"/>
        <w:autoSpaceDE/>
        <w:autoSpaceDN/>
        <w:bidi w:val="0"/>
        <w:adjustRightInd/>
        <w:snapToGrid/>
        <w:spacing w:line="400" w:lineRule="exact"/>
        <w:ind w:firstLine="420" w:firstLineChars="200"/>
        <w:jc w:val="left"/>
        <w:textAlignment w:val="auto"/>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t>八、我方承诺：</w:t>
      </w:r>
    </w:p>
    <w:p w14:paraId="48614DFD">
      <w:pPr>
        <w:keepNext w:val="0"/>
        <w:keepLines w:val="0"/>
        <w:pageBreakBefore w:val="0"/>
        <w:widowControl/>
        <w:kinsoku/>
        <w:wordWrap/>
        <w:overflowPunct/>
        <w:topLinePunct w:val="0"/>
        <w:autoSpaceDE/>
        <w:autoSpaceDN/>
        <w:bidi w:val="0"/>
        <w:adjustRightInd/>
        <w:snapToGrid/>
        <w:spacing w:line="400" w:lineRule="exact"/>
        <w:ind w:firstLine="420" w:firstLineChars="200"/>
        <w:jc w:val="left"/>
        <w:textAlignment w:val="auto"/>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t>在挂牌公告期间已自行对标的资产进行了全面了解，一经递交受让申请并交纳交易保证金后，即表明理解并接受本次资产转让的所有内容及程序，完全了解与认可转让标的状况以及存在的瑕疵等一切内容，并自行承担受让标的所带来的一切风险和后果；成为最终受让方后不得以不了解转让标的为由退还转让标的，否则将视为违约；非因转让方原因所引发的风险因素，由我方自行承担。</w:t>
      </w:r>
    </w:p>
    <w:p w14:paraId="41951280">
      <w:pPr>
        <w:keepNext w:val="0"/>
        <w:keepLines w:val="0"/>
        <w:pageBreakBefore w:val="0"/>
        <w:widowControl/>
        <w:kinsoku/>
        <w:wordWrap/>
        <w:overflowPunct/>
        <w:topLinePunct w:val="0"/>
        <w:autoSpaceDE/>
        <w:autoSpaceDN/>
        <w:bidi w:val="0"/>
        <w:adjustRightInd/>
        <w:snapToGrid/>
        <w:spacing w:line="400" w:lineRule="exact"/>
        <w:ind w:firstLine="420" w:firstLineChars="200"/>
        <w:jc w:val="left"/>
        <w:textAlignment w:val="auto"/>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t>九、我方同意，如我方违反《资产转让网络竞价须知》及本承诺的，</w:t>
      </w:r>
      <w:r>
        <w:rPr>
          <w:rFonts w:hint="eastAsia" w:ascii="仿宋" w:hAnsi="仿宋" w:eastAsia="仿宋" w:cs="仿宋"/>
          <w:color w:val="0D0D0D" w:themeColor="text1" w:themeTint="F2"/>
          <w:kern w:val="0"/>
          <w:sz w:val="21"/>
          <w:szCs w:val="21"/>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t>有权取消我方的竞买资格，扣收我方交纳的交易保证金。</w:t>
      </w:r>
    </w:p>
    <w:p w14:paraId="1F4A5AA1">
      <w:pPr>
        <w:keepNext w:val="0"/>
        <w:keepLines w:val="0"/>
        <w:pageBreakBefore w:val="0"/>
        <w:widowControl/>
        <w:kinsoku/>
        <w:wordWrap/>
        <w:overflowPunct/>
        <w:topLinePunct w:val="0"/>
        <w:autoSpaceDE/>
        <w:autoSpaceDN/>
        <w:bidi w:val="0"/>
        <w:adjustRightInd/>
        <w:snapToGrid/>
        <w:spacing w:line="400" w:lineRule="exact"/>
        <w:ind w:firstLine="420" w:firstLineChars="200"/>
        <w:jc w:val="left"/>
        <w:textAlignment w:val="auto"/>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1"/>
          <w:szCs w:val="21"/>
          <w:lang w:val="en-US" w:eastAsia="zh-CN"/>
          <w14:textFill>
            <w14:solidFill>
              <w14:schemeClr w14:val="tx1">
                <w14:lumMod w14:val="95000"/>
                <w14:lumOff w14:val="5000"/>
              </w14:schemeClr>
            </w14:solidFill>
          </w14:textFill>
        </w:rPr>
        <w:t>十、我方同意，被确定为受让方后未能付清全部交易价款及交易费用的，构成违约，按照挂牌价格的10%向枣庄市公共资源国有产权交易有限公司支付违约金；因我方违约致使本次交易活动停滞的，转让</w:t>
      </w:r>
      <w:r>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t>方和</w:t>
      </w:r>
      <w:r>
        <w:rPr>
          <w:rFonts w:hint="eastAsia" w:ascii="仿宋" w:hAnsi="仿宋" w:eastAsia="仿宋" w:cs="仿宋"/>
          <w:color w:val="0D0D0D" w:themeColor="text1" w:themeTint="F2"/>
          <w:kern w:val="0"/>
          <w:sz w:val="21"/>
          <w:szCs w:val="21"/>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t>有权再次组织本项目的交易活动，再次成交的成交价如低于本次成交价，则差额部分由我方补足，并承担相关费用；同时本次交易活动我方及转让方的竞价服务费由我方承担。</w:t>
      </w:r>
    </w:p>
    <w:p w14:paraId="32E3B1C7">
      <w:pPr>
        <w:keepNext w:val="0"/>
        <w:keepLines w:val="0"/>
        <w:pageBreakBefore w:val="0"/>
        <w:widowControl/>
        <w:kinsoku/>
        <w:wordWrap/>
        <w:overflowPunct/>
        <w:topLinePunct w:val="0"/>
        <w:autoSpaceDE/>
        <w:autoSpaceDN/>
        <w:bidi w:val="0"/>
        <w:adjustRightInd/>
        <w:snapToGrid/>
        <w:spacing w:line="400" w:lineRule="exact"/>
        <w:ind w:firstLine="420" w:firstLineChars="200"/>
        <w:jc w:val="left"/>
        <w:textAlignment w:val="auto"/>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t>十一、本《网络竞价承诺函》传真件、扫描件与原件具有同等法律效力。</w:t>
      </w:r>
    </w:p>
    <w:p w14:paraId="4A2F0D93">
      <w:pPr>
        <w:keepNext w:val="0"/>
        <w:keepLines w:val="0"/>
        <w:pageBreakBefore w:val="0"/>
        <w:widowControl/>
        <w:kinsoku/>
        <w:wordWrap/>
        <w:overflowPunct/>
        <w:topLinePunct w:val="0"/>
        <w:autoSpaceDE/>
        <w:autoSpaceDN/>
        <w:bidi w:val="0"/>
        <w:adjustRightInd/>
        <w:spacing w:line="400" w:lineRule="exact"/>
        <w:jc w:val="left"/>
        <w:textAlignment w:val="auto"/>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t>附：</w:t>
      </w:r>
      <w:r>
        <w:rPr>
          <w:rFonts w:hint="eastAsia" w:ascii="仿宋" w:hAnsi="仿宋" w:eastAsia="仿宋" w:cs="仿宋"/>
          <w:b/>
          <w:color w:val="0D0D0D" w:themeColor="text1" w:themeTint="F2"/>
          <w:kern w:val="0"/>
          <w:sz w:val="21"/>
          <w:szCs w:val="21"/>
          <w14:textFill>
            <w14:solidFill>
              <w14:schemeClr w14:val="tx1">
                <w14:lumMod w14:val="95000"/>
                <w14:lumOff w14:val="5000"/>
              </w14:schemeClr>
            </w14:solidFill>
          </w14:textFill>
        </w:rPr>
        <w:t>《资产受让网络竞价须知》</w:t>
      </w:r>
    </w:p>
    <w:p w14:paraId="5B994CA0">
      <w:pPr>
        <w:keepNext w:val="0"/>
        <w:keepLines w:val="0"/>
        <w:pageBreakBefore w:val="0"/>
        <w:widowControl/>
        <w:kinsoku/>
        <w:wordWrap/>
        <w:overflowPunct/>
        <w:topLinePunct w:val="0"/>
        <w:autoSpaceDE/>
        <w:autoSpaceDN/>
        <w:bidi w:val="0"/>
        <w:adjustRightInd/>
        <w:spacing w:line="400" w:lineRule="exact"/>
        <w:jc w:val="left"/>
        <w:textAlignment w:val="auto"/>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pPr>
    </w:p>
    <w:p w14:paraId="4ACBBFAB">
      <w:pPr>
        <w:keepNext w:val="0"/>
        <w:keepLines w:val="0"/>
        <w:pageBreakBefore w:val="0"/>
        <w:widowControl/>
        <w:kinsoku/>
        <w:wordWrap/>
        <w:overflowPunct/>
        <w:topLinePunct w:val="0"/>
        <w:autoSpaceDE/>
        <w:autoSpaceDN/>
        <w:bidi w:val="0"/>
        <w:adjustRightInd/>
        <w:spacing w:line="400" w:lineRule="exact"/>
        <w:jc w:val="left"/>
        <w:textAlignment w:val="auto"/>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pPr>
    </w:p>
    <w:p w14:paraId="37014EBC">
      <w:pPr>
        <w:keepNext w:val="0"/>
        <w:keepLines w:val="0"/>
        <w:pageBreakBefore w:val="0"/>
        <w:widowControl/>
        <w:kinsoku/>
        <w:wordWrap/>
        <w:overflowPunct/>
        <w:topLinePunct w:val="0"/>
        <w:autoSpaceDE/>
        <w:autoSpaceDN/>
        <w:bidi w:val="0"/>
        <w:adjustRightInd/>
        <w:spacing w:line="400" w:lineRule="exact"/>
        <w:jc w:val="left"/>
        <w:textAlignment w:val="auto"/>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pPr>
      <w:bookmarkStart w:id="0" w:name="OLE_LINK1"/>
      <w:r>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t xml:space="preserve">承诺方：            </w:t>
      </w:r>
    </w:p>
    <w:p w14:paraId="53332984">
      <w:pPr>
        <w:keepNext w:val="0"/>
        <w:keepLines w:val="0"/>
        <w:pageBreakBefore w:val="0"/>
        <w:widowControl/>
        <w:kinsoku/>
        <w:wordWrap/>
        <w:overflowPunct/>
        <w:topLinePunct w:val="0"/>
        <w:autoSpaceDE/>
        <w:autoSpaceDN/>
        <w:bidi w:val="0"/>
        <w:adjustRightInd/>
        <w:spacing w:line="400" w:lineRule="exact"/>
        <w:jc w:val="left"/>
        <w:textAlignment w:val="auto"/>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pPr>
    </w:p>
    <w:p w14:paraId="20A27917">
      <w:pPr>
        <w:keepNext w:val="0"/>
        <w:keepLines w:val="0"/>
        <w:pageBreakBefore w:val="0"/>
        <w:widowControl/>
        <w:kinsoku/>
        <w:wordWrap/>
        <w:overflowPunct/>
        <w:topLinePunct w:val="0"/>
        <w:autoSpaceDE/>
        <w:autoSpaceDN/>
        <w:bidi w:val="0"/>
        <w:adjustRightInd/>
        <w:spacing w:line="400" w:lineRule="exact"/>
        <w:jc w:val="left"/>
        <w:textAlignment w:val="auto"/>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pPr>
    </w:p>
    <w:p w14:paraId="344CA5FA">
      <w:pPr>
        <w:keepNext w:val="0"/>
        <w:keepLines w:val="0"/>
        <w:pageBreakBefore w:val="0"/>
        <w:widowControl/>
        <w:kinsoku/>
        <w:wordWrap/>
        <w:overflowPunct/>
        <w:topLinePunct w:val="0"/>
        <w:autoSpaceDE/>
        <w:autoSpaceDN/>
        <w:bidi w:val="0"/>
        <w:adjustRightInd/>
        <w:spacing w:line="400" w:lineRule="exact"/>
        <w:jc w:val="left"/>
        <w:textAlignment w:val="auto"/>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t xml:space="preserve">联系人：    </w:t>
      </w:r>
    </w:p>
    <w:p w14:paraId="4078EEEC">
      <w:pPr>
        <w:keepNext w:val="0"/>
        <w:keepLines w:val="0"/>
        <w:pageBreakBefore w:val="0"/>
        <w:widowControl/>
        <w:kinsoku/>
        <w:wordWrap/>
        <w:overflowPunct/>
        <w:topLinePunct w:val="0"/>
        <w:autoSpaceDE/>
        <w:autoSpaceDN/>
        <w:bidi w:val="0"/>
        <w:adjustRightInd/>
        <w:spacing w:line="400" w:lineRule="exact"/>
        <w:ind w:firstLine="210" w:firstLineChars="100"/>
        <w:jc w:val="left"/>
        <w:textAlignment w:val="auto"/>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pPr>
    </w:p>
    <w:p w14:paraId="3AF8A217">
      <w:pPr>
        <w:keepNext w:val="0"/>
        <w:keepLines w:val="0"/>
        <w:pageBreakBefore w:val="0"/>
        <w:widowControl/>
        <w:kinsoku/>
        <w:wordWrap/>
        <w:overflowPunct/>
        <w:topLinePunct w:val="0"/>
        <w:autoSpaceDE/>
        <w:autoSpaceDN/>
        <w:bidi w:val="0"/>
        <w:adjustRightInd/>
        <w:spacing w:line="400" w:lineRule="exact"/>
        <w:jc w:val="left"/>
        <w:textAlignment w:val="auto"/>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pPr>
    </w:p>
    <w:p w14:paraId="25BEBEED">
      <w:pPr>
        <w:keepNext w:val="0"/>
        <w:keepLines w:val="0"/>
        <w:pageBreakBefore w:val="0"/>
        <w:widowControl/>
        <w:kinsoku/>
        <w:wordWrap/>
        <w:overflowPunct/>
        <w:topLinePunct w:val="0"/>
        <w:autoSpaceDE/>
        <w:autoSpaceDN/>
        <w:bidi w:val="0"/>
        <w:spacing w:line="440" w:lineRule="exact"/>
        <w:jc w:val="left"/>
        <w:textAlignment w:val="auto"/>
        <w:rPr>
          <w:rFonts w:hint="eastAsia" w:ascii="仿宋" w:hAnsi="仿宋" w:eastAsia="仿宋" w:cs="仿宋"/>
          <w:color w:val="0D0D0D" w:themeColor="text1" w:themeTint="F2"/>
          <w:kern w:val="0"/>
          <w:sz w:val="21"/>
          <w:szCs w:val="21"/>
          <w:u w:val="single"/>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t>手 机：</w:t>
      </w:r>
    </w:p>
    <w:bookmarkEnd w:id="0"/>
    <w:p w14:paraId="4B39F546">
      <w:pPr>
        <w:keepNext w:val="0"/>
        <w:keepLines w:val="0"/>
        <w:pageBreakBefore w:val="0"/>
        <w:widowControl/>
        <w:kinsoku/>
        <w:wordWrap/>
        <w:overflowPunct/>
        <w:topLinePunct w:val="0"/>
        <w:autoSpaceDE/>
        <w:autoSpaceDN/>
        <w:bidi w:val="0"/>
        <w:spacing w:line="440" w:lineRule="exact"/>
        <w:ind w:right="1098" w:rightChars="523" w:firstLine="840" w:firstLineChars="400"/>
        <w:jc w:val="right"/>
        <w:textAlignment w:val="auto"/>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pPr>
    </w:p>
    <w:p w14:paraId="48F7F1D8">
      <w:pPr>
        <w:keepNext w:val="0"/>
        <w:keepLines w:val="0"/>
        <w:pageBreakBefore w:val="0"/>
        <w:widowControl/>
        <w:kinsoku/>
        <w:wordWrap/>
        <w:overflowPunct/>
        <w:topLinePunct w:val="0"/>
        <w:autoSpaceDE/>
        <w:autoSpaceDN/>
        <w:bidi w:val="0"/>
        <w:spacing w:line="440" w:lineRule="exact"/>
        <w:ind w:right="1098" w:rightChars="523" w:firstLine="840" w:firstLineChars="400"/>
        <w:jc w:val="right"/>
        <w:textAlignment w:val="auto"/>
        <w:rPr>
          <w:rFonts w:hint="eastAsia" w:ascii="仿宋" w:hAnsi="仿宋" w:eastAsia="仿宋" w:cs="仿宋"/>
          <w:color w:val="0D0D0D" w:themeColor="text1" w:themeTint="F2"/>
          <w:kern w:val="0"/>
          <w:sz w:val="21"/>
          <w:szCs w:val="21"/>
          <w:u w:val="single"/>
          <w14:textFill>
            <w14:solidFill>
              <w14:schemeClr w14:val="tx1">
                <w14:lumMod w14:val="95000"/>
                <w14:lumOff w14:val="5000"/>
              </w14:schemeClr>
            </w14:solidFill>
          </w14:textFill>
        </w:rPr>
      </w:pPr>
    </w:p>
    <w:p w14:paraId="5001A14B">
      <w:pPr>
        <w:keepNext w:val="0"/>
        <w:keepLines w:val="0"/>
        <w:pageBreakBefore w:val="0"/>
        <w:widowControl/>
        <w:kinsoku/>
        <w:wordWrap/>
        <w:overflowPunct/>
        <w:topLinePunct w:val="0"/>
        <w:autoSpaceDE/>
        <w:autoSpaceDN/>
        <w:bidi w:val="0"/>
        <w:spacing w:line="440" w:lineRule="exact"/>
        <w:ind w:firstLine="562"/>
        <w:jc w:val="right"/>
        <w:textAlignment w:val="auto"/>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pPr>
      <w:r>
        <w:rPr>
          <w:rFonts w:hint="eastAsia" w:ascii="仿宋" w:hAnsi="仿宋" w:eastAsia="仿宋" w:cs="仿宋"/>
          <w:color w:val="0D0D0D" w:themeColor="text1" w:themeTint="F2"/>
          <w:sz w:val="21"/>
          <w:szCs w:val="21"/>
          <w14:textFill>
            <w14:solidFill>
              <w14:schemeClr w14:val="tx1">
                <w14:lumMod w14:val="95000"/>
                <w14:lumOff w14:val="5000"/>
              </w14:schemeClr>
            </w14:solidFill>
          </w14:textFill>
        </w:rPr>
        <w:t xml:space="preserve"> </w:t>
      </w:r>
      <w:r>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t>年</w:t>
      </w:r>
      <w:r>
        <w:rPr>
          <w:rFonts w:hint="eastAsia" w:ascii="仿宋" w:hAnsi="仿宋" w:eastAsia="仿宋" w:cs="仿宋"/>
          <w:color w:val="0D0D0D" w:themeColor="text1" w:themeTint="F2"/>
          <w:kern w:val="0"/>
          <w:sz w:val="21"/>
          <w:szCs w:val="21"/>
          <w:lang w:val="en-US" w:eastAsia="zh-CN"/>
          <w14:textFill>
            <w14:solidFill>
              <w14:schemeClr w14:val="tx1">
                <w14:lumMod w14:val="95000"/>
                <w14:lumOff w14:val="5000"/>
              </w14:schemeClr>
            </w14:solidFill>
          </w14:textFill>
        </w:rPr>
        <w:t xml:space="preserve">  </w:t>
      </w:r>
      <w:r>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t>月</w:t>
      </w:r>
      <w:r>
        <w:rPr>
          <w:rFonts w:hint="eastAsia" w:ascii="仿宋" w:hAnsi="仿宋" w:eastAsia="仿宋" w:cs="仿宋"/>
          <w:color w:val="0D0D0D" w:themeColor="text1" w:themeTint="F2"/>
          <w:kern w:val="0"/>
          <w:sz w:val="21"/>
          <w:szCs w:val="21"/>
          <w:lang w:val="en-US" w:eastAsia="zh-CN"/>
          <w14:textFill>
            <w14:solidFill>
              <w14:schemeClr w14:val="tx1">
                <w14:lumMod w14:val="95000"/>
                <w14:lumOff w14:val="5000"/>
              </w14:schemeClr>
            </w14:solidFill>
          </w14:textFill>
        </w:rPr>
        <w:t xml:space="preserve">  </w:t>
      </w:r>
      <w:r>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t>日</w:t>
      </w:r>
    </w:p>
    <w:p w14:paraId="31A8DF8D">
      <w:pPr>
        <w:keepNext w:val="0"/>
        <w:keepLines w:val="0"/>
        <w:pageBreakBefore w:val="0"/>
        <w:widowControl/>
        <w:kinsoku/>
        <w:wordWrap/>
        <w:overflowPunct/>
        <w:topLinePunct w:val="0"/>
        <w:autoSpaceDE/>
        <w:autoSpaceDN/>
        <w:bidi w:val="0"/>
        <w:spacing w:line="440" w:lineRule="exact"/>
        <w:ind w:firstLine="562"/>
        <w:jc w:val="right"/>
        <w:textAlignment w:val="auto"/>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pPr>
    </w:p>
    <w:p w14:paraId="66CABC8D">
      <w:pPr>
        <w:keepNext w:val="0"/>
        <w:keepLines w:val="0"/>
        <w:pageBreakBefore w:val="0"/>
        <w:kinsoku/>
        <w:wordWrap/>
        <w:overflowPunct/>
        <w:topLinePunct w:val="0"/>
        <w:autoSpaceDE/>
        <w:autoSpaceDN/>
        <w:bidi w:val="0"/>
        <w:spacing w:line="440" w:lineRule="exact"/>
        <w:jc w:val="left"/>
        <w:textAlignment w:val="auto"/>
        <w:rPr>
          <w:rFonts w:hint="eastAsia" w:ascii="仿宋" w:hAnsi="仿宋" w:eastAsia="仿宋" w:cs="仿宋"/>
          <w:b/>
          <w:color w:val="0D0D0D" w:themeColor="text1" w:themeTint="F2"/>
          <w:sz w:val="21"/>
          <w:szCs w:val="21"/>
          <w14:textFill>
            <w14:solidFill>
              <w14:schemeClr w14:val="tx1">
                <w14:lumMod w14:val="95000"/>
                <w14:lumOff w14:val="5000"/>
              </w14:schemeClr>
            </w14:solidFill>
          </w14:textFill>
        </w:rPr>
      </w:pPr>
    </w:p>
    <w:p w14:paraId="62BCB7AB">
      <w:pPr>
        <w:keepNext w:val="0"/>
        <w:keepLines w:val="0"/>
        <w:pageBreakBefore w:val="0"/>
        <w:widowControl/>
        <w:kinsoku/>
        <w:wordWrap/>
        <w:overflowPunct/>
        <w:topLinePunct w:val="0"/>
        <w:autoSpaceDE/>
        <w:autoSpaceDN/>
        <w:bidi w:val="0"/>
        <w:spacing w:line="440" w:lineRule="exact"/>
        <w:jc w:val="left"/>
        <w:textAlignment w:val="auto"/>
        <w:rPr>
          <w:rFonts w:hint="eastAsia" w:ascii="仿宋" w:hAnsi="仿宋" w:eastAsia="仿宋" w:cs="仿宋"/>
          <w:bCs/>
          <w:color w:val="0D0D0D" w:themeColor="text1" w:themeTint="F2"/>
          <w:sz w:val="21"/>
          <w:szCs w:val="21"/>
          <w14:textFill>
            <w14:solidFill>
              <w14:schemeClr w14:val="tx1">
                <w14:lumMod w14:val="95000"/>
                <w14:lumOff w14:val="5000"/>
              </w14:schemeClr>
            </w14:solidFill>
          </w14:textFill>
        </w:rPr>
      </w:pPr>
    </w:p>
    <w:p w14:paraId="386F299F">
      <w:pPr>
        <w:keepNext w:val="0"/>
        <w:keepLines w:val="0"/>
        <w:pageBreakBefore w:val="0"/>
        <w:widowControl/>
        <w:kinsoku/>
        <w:wordWrap/>
        <w:overflowPunct/>
        <w:topLinePunct w:val="0"/>
        <w:autoSpaceDE/>
        <w:autoSpaceDN/>
        <w:bidi w:val="0"/>
        <w:spacing w:line="440" w:lineRule="exact"/>
        <w:jc w:val="left"/>
        <w:textAlignment w:val="auto"/>
        <w:rPr>
          <w:rFonts w:hint="eastAsia" w:ascii="仿宋" w:hAnsi="仿宋" w:eastAsia="仿宋" w:cs="仿宋"/>
          <w:b/>
          <w:bCs w:val="0"/>
          <w:color w:val="0D0D0D" w:themeColor="text1" w:themeTint="F2"/>
          <w:sz w:val="21"/>
          <w:szCs w:val="21"/>
          <w14:textFill>
            <w14:solidFill>
              <w14:schemeClr w14:val="tx1">
                <w14:lumMod w14:val="95000"/>
                <w14:lumOff w14:val="5000"/>
              </w14:schemeClr>
            </w14:solidFill>
          </w14:textFill>
        </w:rPr>
      </w:pPr>
    </w:p>
    <w:p w14:paraId="410E2D9A">
      <w:pPr>
        <w:keepNext w:val="0"/>
        <w:keepLines w:val="0"/>
        <w:pageBreakBefore w:val="0"/>
        <w:widowControl/>
        <w:kinsoku/>
        <w:wordWrap/>
        <w:overflowPunct/>
        <w:topLinePunct w:val="0"/>
        <w:autoSpaceDE/>
        <w:autoSpaceDN/>
        <w:bidi w:val="0"/>
        <w:spacing w:line="440" w:lineRule="exact"/>
        <w:jc w:val="center"/>
        <w:textAlignment w:val="auto"/>
        <w:rPr>
          <w:rFonts w:hint="eastAsia" w:ascii="仿宋" w:hAnsi="仿宋" w:eastAsia="仿宋" w:cs="仿宋"/>
          <w:b/>
          <w:bCs w:val="0"/>
          <w:color w:val="0D0D0D" w:themeColor="text1" w:themeTint="F2"/>
          <w:sz w:val="24"/>
          <w:szCs w:val="24"/>
          <w:lang w:val="en-US" w:eastAsia="zh-CN"/>
          <w14:textFill>
            <w14:solidFill>
              <w14:schemeClr w14:val="tx1">
                <w14:lumMod w14:val="95000"/>
                <w14:lumOff w14:val="5000"/>
              </w14:schemeClr>
            </w14:solidFill>
          </w14:textFill>
        </w:rPr>
      </w:pPr>
    </w:p>
    <w:p w14:paraId="2938EA2F">
      <w:pPr>
        <w:keepNext w:val="0"/>
        <w:keepLines w:val="0"/>
        <w:pageBreakBefore w:val="0"/>
        <w:widowControl/>
        <w:kinsoku/>
        <w:wordWrap/>
        <w:overflowPunct/>
        <w:topLinePunct w:val="0"/>
        <w:autoSpaceDE/>
        <w:autoSpaceDN/>
        <w:bidi w:val="0"/>
        <w:spacing w:line="440" w:lineRule="exact"/>
        <w:jc w:val="center"/>
        <w:textAlignment w:val="auto"/>
        <w:rPr>
          <w:rFonts w:hint="eastAsia" w:ascii="仿宋" w:hAnsi="仿宋" w:eastAsia="仿宋" w:cs="仿宋"/>
          <w:b/>
          <w:bCs w:val="0"/>
          <w:color w:val="0D0D0D" w:themeColor="text1" w:themeTint="F2"/>
          <w:sz w:val="24"/>
          <w:szCs w:val="24"/>
          <w:lang w:val="en-US" w:eastAsia="zh-CN"/>
          <w14:textFill>
            <w14:solidFill>
              <w14:schemeClr w14:val="tx1">
                <w14:lumMod w14:val="95000"/>
                <w14:lumOff w14:val="5000"/>
              </w14:schemeClr>
            </w14:solidFill>
          </w14:textFill>
        </w:rPr>
      </w:pPr>
    </w:p>
    <w:p w14:paraId="0963FF80">
      <w:pPr>
        <w:keepNext w:val="0"/>
        <w:keepLines w:val="0"/>
        <w:pageBreakBefore w:val="0"/>
        <w:widowControl/>
        <w:kinsoku/>
        <w:wordWrap/>
        <w:overflowPunct/>
        <w:topLinePunct w:val="0"/>
        <w:autoSpaceDE/>
        <w:autoSpaceDN/>
        <w:bidi w:val="0"/>
        <w:spacing w:line="440" w:lineRule="exact"/>
        <w:jc w:val="both"/>
        <w:textAlignment w:val="auto"/>
        <w:rPr>
          <w:rFonts w:hint="eastAsia" w:ascii="仿宋" w:hAnsi="仿宋" w:eastAsia="仿宋" w:cs="仿宋"/>
          <w:b/>
          <w:bCs w:val="0"/>
          <w:color w:val="0D0D0D" w:themeColor="text1" w:themeTint="F2"/>
          <w:sz w:val="24"/>
          <w:szCs w:val="24"/>
          <w14:textFill>
            <w14:solidFill>
              <w14:schemeClr w14:val="tx1">
                <w14:lumMod w14:val="95000"/>
                <w14:lumOff w14:val="5000"/>
              </w14:schemeClr>
            </w14:solidFill>
          </w14:textFill>
        </w:rPr>
      </w:pPr>
    </w:p>
    <w:p w14:paraId="5F280E7E">
      <w:pPr>
        <w:keepNext w:val="0"/>
        <w:keepLines w:val="0"/>
        <w:pageBreakBefore w:val="0"/>
        <w:widowControl/>
        <w:kinsoku/>
        <w:wordWrap/>
        <w:overflowPunct/>
        <w:topLinePunct w:val="0"/>
        <w:autoSpaceDE/>
        <w:autoSpaceDN/>
        <w:bidi w:val="0"/>
        <w:spacing w:line="440" w:lineRule="exact"/>
        <w:jc w:val="both"/>
        <w:textAlignment w:val="auto"/>
        <w:rPr>
          <w:rFonts w:hint="eastAsia" w:ascii="仿宋" w:hAnsi="仿宋" w:eastAsia="仿宋" w:cs="仿宋"/>
          <w:b/>
          <w:bCs w:val="0"/>
          <w:color w:val="0D0D0D" w:themeColor="text1" w:themeTint="F2"/>
          <w:sz w:val="24"/>
          <w:szCs w:val="24"/>
          <w14:textFill>
            <w14:solidFill>
              <w14:schemeClr w14:val="tx1">
                <w14:lumMod w14:val="95000"/>
                <w14:lumOff w14:val="5000"/>
              </w14:schemeClr>
            </w14:solidFill>
          </w14:textFill>
        </w:rPr>
      </w:pPr>
    </w:p>
    <w:p w14:paraId="3AAB71E6">
      <w:pPr>
        <w:keepNext w:val="0"/>
        <w:keepLines w:val="0"/>
        <w:pageBreakBefore w:val="0"/>
        <w:widowControl/>
        <w:kinsoku/>
        <w:wordWrap/>
        <w:overflowPunct/>
        <w:topLinePunct w:val="0"/>
        <w:autoSpaceDE/>
        <w:autoSpaceDN/>
        <w:bidi w:val="0"/>
        <w:spacing w:line="440" w:lineRule="exact"/>
        <w:jc w:val="center"/>
        <w:textAlignment w:val="auto"/>
        <w:rPr>
          <w:rFonts w:hint="eastAsia" w:ascii="仿宋" w:hAnsi="仿宋" w:eastAsia="仿宋" w:cs="仿宋"/>
          <w:b/>
          <w:bCs w:val="0"/>
          <w:color w:val="0D0D0D" w:themeColor="text1" w:themeTint="F2"/>
          <w:sz w:val="24"/>
          <w:szCs w:val="24"/>
          <w14:textFill>
            <w14:solidFill>
              <w14:schemeClr w14:val="tx1">
                <w14:lumMod w14:val="95000"/>
                <w14:lumOff w14:val="5000"/>
              </w14:schemeClr>
            </w14:solidFill>
          </w14:textFill>
        </w:rPr>
      </w:pPr>
    </w:p>
    <w:p w14:paraId="5236830E">
      <w:pPr>
        <w:keepNext w:val="0"/>
        <w:keepLines w:val="0"/>
        <w:pageBreakBefore w:val="0"/>
        <w:widowControl/>
        <w:kinsoku/>
        <w:wordWrap/>
        <w:overflowPunct/>
        <w:topLinePunct w:val="0"/>
        <w:autoSpaceDE/>
        <w:autoSpaceDN/>
        <w:bidi w:val="0"/>
        <w:spacing w:line="440" w:lineRule="exact"/>
        <w:jc w:val="center"/>
        <w:textAlignment w:val="auto"/>
        <w:rPr>
          <w:rFonts w:hint="eastAsia" w:ascii="仿宋" w:hAnsi="仿宋" w:eastAsia="仿宋" w:cs="仿宋"/>
          <w:b/>
          <w:bCs w:val="0"/>
          <w:color w:val="0D0D0D" w:themeColor="text1" w:themeTint="F2"/>
          <w:sz w:val="24"/>
          <w:szCs w:val="24"/>
          <w14:textFill>
            <w14:solidFill>
              <w14:schemeClr w14:val="tx1">
                <w14:lumMod w14:val="95000"/>
                <w14:lumOff w14:val="5000"/>
              </w14:schemeClr>
            </w14:solidFill>
          </w14:textFill>
        </w:rPr>
      </w:pPr>
    </w:p>
    <w:p w14:paraId="39199545">
      <w:pPr>
        <w:keepNext w:val="0"/>
        <w:keepLines w:val="0"/>
        <w:pageBreakBefore w:val="0"/>
        <w:widowControl/>
        <w:kinsoku/>
        <w:wordWrap/>
        <w:overflowPunct/>
        <w:topLinePunct w:val="0"/>
        <w:autoSpaceDE/>
        <w:autoSpaceDN/>
        <w:bidi w:val="0"/>
        <w:spacing w:line="440" w:lineRule="exact"/>
        <w:jc w:val="center"/>
        <w:textAlignment w:val="auto"/>
        <w:rPr>
          <w:rFonts w:hint="eastAsia" w:ascii="仿宋" w:hAnsi="仿宋" w:eastAsia="仿宋" w:cs="仿宋"/>
          <w:b/>
          <w:bCs w:val="0"/>
          <w:color w:val="0D0D0D" w:themeColor="text1" w:themeTint="F2"/>
          <w:sz w:val="24"/>
          <w:szCs w:val="24"/>
          <w14:textFill>
            <w14:solidFill>
              <w14:schemeClr w14:val="tx1">
                <w14:lumMod w14:val="95000"/>
                <w14:lumOff w14:val="5000"/>
              </w14:schemeClr>
            </w14:solidFill>
          </w14:textFill>
        </w:rPr>
      </w:pPr>
    </w:p>
    <w:p w14:paraId="581531F4">
      <w:pPr>
        <w:keepNext w:val="0"/>
        <w:keepLines w:val="0"/>
        <w:pageBreakBefore w:val="0"/>
        <w:widowControl/>
        <w:kinsoku/>
        <w:wordWrap/>
        <w:overflowPunct/>
        <w:topLinePunct w:val="0"/>
        <w:autoSpaceDE/>
        <w:autoSpaceDN/>
        <w:bidi w:val="0"/>
        <w:spacing w:line="440" w:lineRule="exact"/>
        <w:jc w:val="center"/>
        <w:textAlignment w:val="auto"/>
        <w:rPr>
          <w:rFonts w:hint="eastAsia" w:ascii="仿宋" w:hAnsi="仿宋" w:eastAsia="仿宋" w:cs="仿宋"/>
          <w:b/>
          <w:bCs w:val="0"/>
          <w:color w:val="0D0D0D" w:themeColor="text1" w:themeTint="F2"/>
          <w:sz w:val="24"/>
          <w:szCs w:val="24"/>
          <w14:textFill>
            <w14:solidFill>
              <w14:schemeClr w14:val="tx1">
                <w14:lumMod w14:val="95000"/>
                <w14:lumOff w14:val="5000"/>
              </w14:schemeClr>
            </w14:solidFill>
          </w14:textFill>
        </w:rPr>
      </w:pPr>
    </w:p>
    <w:p w14:paraId="0F41EB63">
      <w:pPr>
        <w:keepNext w:val="0"/>
        <w:keepLines w:val="0"/>
        <w:pageBreakBefore w:val="0"/>
        <w:widowControl/>
        <w:kinsoku/>
        <w:wordWrap/>
        <w:overflowPunct/>
        <w:topLinePunct w:val="0"/>
        <w:autoSpaceDE/>
        <w:autoSpaceDN/>
        <w:bidi w:val="0"/>
        <w:spacing w:line="440" w:lineRule="exact"/>
        <w:jc w:val="center"/>
        <w:textAlignment w:val="auto"/>
        <w:rPr>
          <w:rFonts w:hint="eastAsia" w:ascii="仿宋" w:hAnsi="仿宋" w:eastAsia="仿宋" w:cs="仿宋"/>
          <w:b/>
          <w:bCs w:val="0"/>
          <w:color w:val="0D0D0D" w:themeColor="text1" w:themeTint="F2"/>
          <w:sz w:val="24"/>
          <w:szCs w:val="24"/>
          <w14:textFill>
            <w14:solidFill>
              <w14:schemeClr w14:val="tx1">
                <w14:lumMod w14:val="95000"/>
                <w14:lumOff w14:val="5000"/>
              </w14:schemeClr>
            </w14:solidFill>
          </w14:textFill>
        </w:rPr>
      </w:pPr>
    </w:p>
    <w:p w14:paraId="3B061084">
      <w:pPr>
        <w:keepNext w:val="0"/>
        <w:keepLines w:val="0"/>
        <w:pageBreakBefore w:val="0"/>
        <w:widowControl/>
        <w:kinsoku/>
        <w:wordWrap/>
        <w:overflowPunct/>
        <w:topLinePunct w:val="0"/>
        <w:autoSpaceDE/>
        <w:autoSpaceDN/>
        <w:bidi w:val="0"/>
        <w:spacing w:line="440" w:lineRule="exact"/>
        <w:jc w:val="center"/>
        <w:textAlignment w:val="auto"/>
        <w:rPr>
          <w:rFonts w:hint="eastAsia" w:ascii="仿宋" w:hAnsi="仿宋" w:eastAsia="仿宋" w:cs="仿宋"/>
          <w:b/>
          <w:bCs w:val="0"/>
          <w:color w:val="0D0D0D" w:themeColor="text1" w:themeTint="F2"/>
          <w:sz w:val="24"/>
          <w:szCs w:val="24"/>
          <w14:textFill>
            <w14:solidFill>
              <w14:schemeClr w14:val="tx1">
                <w14:lumMod w14:val="95000"/>
                <w14:lumOff w14:val="5000"/>
              </w14:schemeClr>
            </w14:solidFill>
          </w14:textFill>
        </w:rPr>
      </w:pPr>
    </w:p>
    <w:p w14:paraId="20596C97">
      <w:pPr>
        <w:keepNext w:val="0"/>
        <w:keepLines w:val="0"/>
        <w:pageBreakBefore w:val="0"/>
        <w:widowControl/>
        <w:kinsoku/>
        <w:wordWrap/>
        <w:overflowPunct/>
        <w:topLinePunct w:val="0"/>
        <w:autoSpaceDE/>
        <w:autoSpaceDN/>
        <w:bidi w:val="0"/>
        <w:spacing w:line="440" w:lineRule="exact"/>
        <w:jc w:val="center"/>
        <w:textAlignment w:val="auto"/>
        <w:rPr>
          <w:rFonts w:hint="eastAsia" w:ascii="仿宋" w:hAnsi="仿宋" w:eastAsia="仿宋" w:cs="仿宋"/>
          <w:b/>
          <w:bCs w:val="0"/>
          <w:color w:val="0D0D0D" w:themeColor="text1" w:themeTint="F2"/>
          <w:sz w:val="24"/>
          <w:szCs w:val="24"/>
          <w14:textFill>
            <w14:solidFill>
              <w14:schemeClr w14:val="tx1">
                <w14:lumMod w14:val="95000"/>
                <w14:lumOff w14:val="5000"/>
              </w14:schemeClr>
            </w14:solidFill>
          </w14:textFill>
        </w:rPr>
      </w:pPr>
    </w:p>
    <w:p w14:paraId="7BFA1C99">
      <w:pPr>
        <w:keepNext w:val="0"/>
        <w:keepLines w:val="0"/>
        <w:pageBreakBefore w:val="0"/>
        <w:widowControl/>
        <w:kinsoku/>
        <w:wordWrap/>
        <w:overflowPunct/>
        <w:topLinePunct w:val="0"/>
        <w:autoSpaceDE/>
        <w:autoSpaceDN/>
        <w:bidi w:val="0"/>
        <w:spacing w:line="440" w:lineRule="exact"/>
        <w:jc w:val="center"/>
        <w:textAlignment w:val="auto"/>
        <w:rPr>
          <w:rFonts w:hint="eastAsia" w:ascii="仿宋" w:hAnsi="仿宋" w:eastAsia="仿宋" w:cs="仿宋"/>
          <w:b/>
          <w:bCs w:val="0"/>
          <w:color w:val="0D0D0D" w:themeColor="text1" w:themeTint="F2"/>
          <w:sz w:val="24"/>
          <w:szCs w:val="24"/>
          <w14:textFill>
            <w14:solidFill>
              <w14:schemeClr w14:val="tx1">
                <w14:lumMod w14:val="95000"/>
                <w14:lumOff w14:val="5000"/>
              </w14:schemeClr>
            </w14:solidFill>
          </w14:textFill>
        </w:rPr>
      </w:pPr>
      <w:r>
        <w:rPr>
          <w:rFonts w:hint="eastAsia" w:ascii="仿宋" w:hAnsi="仿宋" w:eastAsia="仿宋" w:cs="仿宋"/>
          <w:b/>
          <w:bCs w:val="0"/>
          <w:color w:val="0D0D0D" w:themeColor="text1" w:themeTint="F2"/>
          <w:sz w:val="24"/>
          <w:szCs w:val="24"/>
          <w14:textFill>
            <w14:solidFill>
              <w14:schemeClr w14:val="tx1">
                <w14:lumMod w14:val="95000"/>
                <w14:lumOff w14:val="5000"/>
              </w14:schemeClr>
            </w14:solidFill>
          </w14:textFill>
        </w:rPr>
        <w:t>资产受让网络竞价须知</w:t>
      </w:r>
    </w:p>
    <w:p w14:paraId="6431402C">
      <w:pPr>
        <w:keepNext w:val="0"/>
        <w:keepLines w:val="0"/>
        <w:pageBreakBefore w:val="0"/>
        <w:kinsoku/>
        <w:wordWrap/>
        <w:overflowPunct/>
        <w:topLinePunct w:val="0"/>
        <w:autoSpaceDE/>
        <w:autoSpaceDN/>
        <w:bidi w:val="0"/>
        <w:spacing w:line="440" w:lineRule="exact"/>
        <w:ind w:firstLine="420" w:firstLineChars="200"/>
        <w:textAlignment w:val="auto"/>
        <w:rPr>
          <w:rFonts w:hint="eastAsia" w:ascii="仿宋" w:hAnsi="仿宋" w:eastAsia="仿宋" w:cs="仿宋"/>
          <w:color w:val="0D0D0D" w:themeColor="text1" w:themeTint="F2"/>
          <w:sz w:val="21"/>
          <w:szCs w:val="21"/>
          <w14:textFill>
            <w14:solidFill>
              <w14:schemeClr w14:val="tx1">
                <w14:lumMod w14:val="95000"/>
                <w14:lumOff w14:val="5000"/>
              </w14:schemeClr>
            </w14:solidFill>
          </w14:textFill>
        </w:rPr>
      </w:pPr>
    </w:p>
    <w:p w14:paraId="62F2CA21">
      <w:pPr>
        <w:keepNext w:val="0"/>
        <w:keepLines w:val="0"/>
        <w:pageBreakBefore w:val="0"/>
        <w:kinsoku/>
        <w:wordWrap/>
        <w:overflowPunct/>
        <w:topLinePunct w:val="0"/>
        <w:autoSpaceDE/>
        <w:autoSpaceDN/>
        <w:bidi w:val="0"/>
        <w:spacing w:line="400" w:lineRule="exact"/>
        <w:ind w:firstLine="420" w:firstLineChars="200"/>
        <w:textAlignment w:val="auto"/>
        <w:rPr>
          <w:rFonts w:hint="eastAsia" w:ascii="仿宋" w:hAnsi="仿宋" w:eastAsia="仿宋" w:cs="仿宋"/>
          <w:color w:val="0D0D0D" w:themeColor="text1" w:themeTint="F2"/>
          <w:sz w:val="21"/>
          <w:szCs w:val="21"/>
          <w14:textFill>
            <w14:solidFill>
              <w14:schemeClr w14:val="tx1">
                <w14:lumMod w14:val="95000"/>
                <w14:lumOff w14:val="5000"/>
              </w14:schemeClr>
            </w14:solidFill>
          </w14:textFill>
        </w:rPr>
      </w:pPr>
      <w:r>
        <w:rPr>
          <w:rFonts w:hint="eastAsia" w:ascii="仿宋" w:hAnsi="仿宋" w:eastAsia="仿宋" w:cs="仿宋"/>
          <w:color w:val="0D0D0D" w:themeColor="text1" w:themeTint="F2"/>
          <w:sz w:val="21"/>
          <w:szCs w:val="21"/>
          <w14:textFill>
            <w14:solidFill>
              <w14:schemeClr w14:val="tx1">
                <w14:lumMod w14:val="95000"/>
                <w14:lumOff w14:val="5000"/>
              </w14:schemeClr>
            </w14:solidFill>
          </w14:textFill>
        </w:rPr>
        <w:t>一、京沪高铁枣庄站站前服务中心所属报废固定资产处置</w:t>
      </w:r>
      <w:r>
        <w:rPr>
          <w:rFonts w:hint="eastAsia" w:ascii="仿宋" w:hAnsi="仿宋" w:eastAsia="仿宋" w:cs="仿宋"/>
          <w:color w:val="0D0D0D" w:themeColor="text1" w:themeTint="F2"/>
          <w:sz w:val="21"/>
          <w:szCs w:val="21"/>
          <w:lang w:val="en-US" w:eastAsia="zh-CN"/>
          <w14:textFill>
            <w14:solidFill>
              <w14:schemeClr w14:val="tx1">
                <w14:lumMod w14:val="95000"/>
                <w14:lumOff w14:val="5000"/>
              </w14:schemeClr>
            </w14:solidFill>
          </w14:textFill>
        </w:rPr>
        <w:t>项目</w:t>
      </w:r>
      <w:r>
        <w:rPr>
          <w:rFonts w:hint="eastAsia" w:ascii="仿宋" w:hAnsi="仿宋" w:eastAsia="仿宋" w:cs="仿宋"/>
          <w:color w:val="0D0D0D" w:themeColor="text1" w:themeTint="F2"/>
          <w:sz w:val="21"/>
          <w:szCs w:val="21"/>
          <w14:textFill>
            <w14:solidFill>
              <w14:schemeClr w14:val="tx1">
                <w14:lumMod w14:val="95000"/>
                <w14:lumOff w14:val="5000"/>
              </w14:schemeClr>
            </w14:solidFill>
          </w14:textFill>
        </w:rPr>
        <w:t>（项目编号LNGZ20</w:t>
      </w:r>
      <w:r>
        <w:rPr>
          <w:rFonts w:hint="eastAsia" w:ascii="仿宋" w:hAnsi="仿宋" w:eastAsia="仿宋" w:cs="仿宋"/>
          <w:color w:val="0D0D0D" w:themeColor="text1" w:themeTint="F2"/>
          <w:sz w:val="21"/>
          <w:szCs w:val="21"/>
          <w:lang w:val="en-US" w:eastAsia="zh-CN"/>
          <w14:textFill>
            <w14:solidFill>
              <w14:schemeClr w14:val="tx1">
                <w14:lumMod w14:val="95000"/>
                <w14:lumOff w14:val="5000"/>
              </w14:schemeClr>
            </w14:solidFill>
          </w14:textFill>
        </w:rPr>
        <w:t>26-116</w:t>
      </w:r>
      <w:r>
        <w:rPr>
          <w:rFonts w:hint="eastAsia" w:ascii="仿宋" w:hAnsi="仿宋" w:eastAsia="仿宋" w:cs="仿宋"/>
          <w:color w:val="0D0D0D" w:themeColor="text1" w:themeTint="F2"/>
          <w:sz w:val="21"/>
          <w:szCs w:val="21"/>
          <w14:textFill>
            <w14:solidFill>
              <w14:schemeClr w14:val="tx1">
                <w14:lumMod w14:val="95000"/>
                <w14:lumOff w14:val="5000"/>
              </w14:schemeClr>
            </w14:solidFill>
          </w14:textFill>
        </w:rPr>
        <w:t>）《资产转让网络竞价须知》（以下简称“《须知》”）依据《山东产权交易中心资产交易规则》和《山东产权交易中心网络竞价实施办法》、《山东产权交易中心动态报价实施办法》制定。其中，网络竞价包含动态报价方式。</w:t>
      </w:r>
    </w:p>
    <w:p w14:paraId="2904B4B6">
      <w:pPr>
        <w:keepNext w:val="0"/>
        <w:keepLines w:val="0"/>
        <w:pageBreakBefore w:val="0"/>
        <w:kinsoku/>
        <w:wordWrap/>
        <w:overflowPunct/>
        <w:topLinePunct w:val="0"/>
        <w:autoSpaceDE/>
        <w:autoSpaceDN/>
        <w:bidi w:val="0"/>
        <w:spacing w:line="400" w:lineRule="exact"/>
        <w:ind w:firstLine="420" w:firstLineChars="200"/>
        <w:textAlignment w:val="auto"/>
        <w:rPr>
          <w:rFonts w:hint="eastAsia" w:ascii="仿宋" w:hAnsi="仿宋" w:eastAsia="仿宋" w:cs="仿宋"/>
          <w:color w:val="0D0D0D" w:themeColor="text1" w:themeTint="F2"/>
          <w:kern w:val="0"/>
          <w:sz w:val="21"/>
          <w:szCs w:val="21"/>
          <w:u w:val="single"/>
          <w14:textFill>
            <w14:solidFill>
              <w14:schemeClr w14:val="tx1">
                <w14:lumMod w14:val="95000"/>
                <w14:lumOff w14:val="5000"/>
              </w14:schemeClr>
            </w14:solidFill>
          </w14:textFill>
        </w:rPr>
      </w:pPr>
      <w:r>
        <w:rPr>
          <w:rFonts w:hint="eastAsia" w:ascii="仿宋" w:hAnsi="仿宋" w:eastAsia="仿宋" w:cs="仿宋"/>
          <w:color w:val="0D0D0D" w:themeColor="text1" w:themeTint="F2"/>
          <w:sz w:val="21"/>
          <w:szCs w:val="21"/>
          <w14:textFill>
            <w14:solidFill>
              <w14:schemeClr w14:val="tx1">
                <w14:lumMod w14:val="95000"/>
                <w14:lumOff w14:val="5000"/>
              </w14:schemeClr>
            </w14:solidFill>
          </w14:textFill>
        </w:rPr>
        <w:t>二、该项目在</w:t>
      </w:r>
      <w:r>
        <w:rPr>
          <w:rFonts w:hint="eastAsia" w:ascii="仿宋" w:hAnsi="仿宋" w:eastAsia="仿宋" w:cs="仿宋"/>
          <w:color w:val="0D0D0D" w:themeColor="text1" w:themeTint="F2"/>
          <w:sz w:val="21"/>
          <w:szCs w:val="21"/>
          <w:lang w:val="en-US" w:eastAsia="zh-CN"/>
          <w14:textFill>
            <w14:solidFill>
              <w14:schemeClr w14:val="tx1">
                <w14:lumMod w14:val="95000"/>
                <w14:lumOff w14:val="5000"/>
              </w14:schemeClr>
            </w14:solidFill>
          </w14:textFill>
        </w:rPr>
        <w:t>枣庄市公共资源国有产</w:t>
      </w:r>
      <w:r>
        <w:rPr>
          <w:rFonts w:hint="eastAsia" w:ascii="仿宋" w:hAnsi="仿宋" w:eastAsia="仿宋" w:cs="仿宋"/>
          <w:color w:val="0D0D0D" w:themeColor="text1" w:themeTint="F2"/>
          <w:kern w:val="0"/>
          <w:sz w:val="21"/>
          <w:szCs w:val="21"/>
          <w:lang w:val="en-US" w:eastAsia="zh-CN"/>
          <w14:textFill>
            <w14:solidFill>
              <w14:schemeClr w14:val="tx1">
                <w14:lumMod w14:val="95000"/>
                <w14:lumOff w14:val="5000"/>
              </w14:schemeClr>
            </w14:solidFill>
          </w14:textFill>
        </w:rPr>
        <w:t>权交易有限公司</w:t>
      </w:r>
      <w:r>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t>公开挂牌，转让方决定通过网络竞价方式确定受让方，本次网络竞价活动由</w:t>
      </w:r>
      <w:r>
        <w:rPr>
          <w:rFonts w:hint="eastAsia" w:ascii="仿宋" w:hAnsi="仿宋" w:eastAsia="仿宋" w:cs="仿宋"/>
          <w:color w:val="0D0D0D" w:themeColor="text1" w:themeTint="F2"/>
          <w:kern w:val="0"/>
          <w:sz w:val="21"/>
          <w:szCs w:val="21"/>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t>组织实施。</w:t>
      </w:r>
    </w:p>
    <w:p w14:paraId="1C197656">
      <w:pPr>
        <w:keepNext w:val="0"/>
        <w:keepLines w:val="0"/>
        <w:pageBreakBefore w:val="0"/>
        <w:widowControl/>
        <w:kinsoku/>
        <w:wordWrap/>
        <w:overflowPunct/>
        <w:topLinePunct w:val="0"/>
        <w:autoSpaceDE/>
        <w:autoSpaceDN/>
        <w:bidi w:val="0"/>
        <w:spacing w:line="400" w:lineRule="exact"/>
        <w:ind w:right="-187" w:rightChars="-89" w:firstLine="411" w:firstLineChars="196"/>
        <w:jc w:val="left"/>
        <w:textAlignment w:val="auto"/>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t>竞买人应在20</w:t>
      </w:r>
      <w:r>
        <w:rPr>
          <w:rFonts w:hint="eastAsia" w:ascii="仿宋" w:hAnsi="仿宋" w:eastAsia="仿宋" w:cs="仿宋"/>
          <w:color w:val="0D0D0D" w:themeColor="text1" w:themeTint="F2"/>
          <w:kern w:val="0"/>
          <w:sz w:val="21"/>
          <w:szCs w:val="21"/>
          <w:lang w:val="en-US" w:eastAsia="zh-CN"/>
          <w14:textFill>
            <w14:solidFill>
              <w14:schemeClr w14:val="tx1">
                <w14:lumMod w14:val="95000"/>
                <w14:lumOff w14:val="5000"/>
              </w14:schemeClr>
            </w14:solidFill>
          </w14:textFill>
        </w:rPr>
        <w:t>26年10</w:t>
      </w:r>
      <w:r>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t>月</w:t>
      </w:r>
      <w:r>
        <w:rPr>
          <w:rFonts w:hint="eastAsia" w:ascii="仿宋" w:hAnsi="仿宋" w:eastAsia="仿宋" w:cs="仿宋"/>
          <w:color w:val="0D0D0D" w:themeColor="text1" w:themeTint="F2"/>
          <w:kern w:val="0"/>
          <w:sz w:val="21"/>
          <w:szCs w:val="21"/>
          <w:lang w:val="en-US" w:eastAsia="zh-CN"/>
          <w14:textFill>
            <w14:solidFill>
              <w14:schemeClr w14:val="tx1">
                <w14:lumMod w14:val="95000"/>
                <w14:lumOff w14:val="5000"/>
              </w14:schemeClr>
            </w14:solidFill>
          </w14:textFill>
        </w:rPr>
        <w:t>26</w:t>
      </w:r>
      <w:r>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t>日1</w:t>
      </w:r>
      <w:r>
        <w:rPr>
          <w:rFonts w:hint="eastAsia" w:ascii="仿宋" w:hAnsi="仿宋" w:eastAsia="仿宋" w:cs="仿宋"/>
          <w:color w:val="0D0D0D" w:themeColor="text1" w:themeTint="F2"/>
          <w:kern w:val="0"/>
          <w:sz w:val="21"/>
          <w:szCs w:val="21"/>
          <w:lang w:val="en-US" w:eastAsia="zh-CN"/>
          <w14:textFill>
            <w14:solidFill>
              <w14:schemeClr w14:val="tx1">
                <w14:lumMod w14:val="95000"/>
                <w14:lumOff w14:val="5000"/>
              </w14:schemeClr>
            </w14:solidFill>
          </w14:textFill>
        </w:rPr>
        <w:t>7</w:t>
      </w:r>
      <w:r>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t>时前，交纳本项目保证金到中心指定账户（户 名：</w:t>
      </w:r>
      <w:r>
        <w:rPr>
          <w:rFonts w:hint="eastAsia" w:ascii="仿宋" w:hAnsi="仿宋" w:eastAsia="仿宋" w:cs="仿宋"/>
          <w:color w:val="0D0D0D" w:themeColor="text1" w:themeTint="F2"/>
          <w:kern w:val="0"/>
          <w:sz w:val="21"/>
          <w:szCs w:val="21"/>
          <w:lang w:val="en-US" w:eastAsia="zh-CN"/>
          <w14:textFill>
            <w14:solidFill>
              <w14:schemeClr w14:val="tx1">
                <w14:lumMod w14:val="95000"/>
                <w14:lumOff w14:val="5000"/>
              </w14:schemeClr>
            </w14:solidFill>
          </w14:textFill>
        </w:rPr>
        <w:t>账户名称:枣庄市公共资源国有产权交易有限公司，账号：152 861 0104 0010 218，开户行：中国农业银行山亭支行</w:t>
      </w:r>
      <w:r>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t>），保证金未按规定时间到账</w:t>
      </w:r>
      <w:r>
        <w:rPr>
          <w:rFonts w:hint="eastAsia" w:ascii="仿宋" w:hAnsi="仿宋" w:eastAsia="仿宋" w:cs="仿宋"/>
          <w:color w:val="0D0D0D" w:themeColor="text1" w:themeTint="F2"/>
          <w:kern w:val="0"/>
          <w:sz w:val="21"/>
          <w:szCs w:val="21"/>
          <w:lang w:val="en-US" w:eastAsia="zh-CN"/>
          <w14:textFill>
            <w14:solidFill>
              <w14:schemeClr w14:val="tx1">
                <w14:lumMod w14:val="95000"/>
                <w14:lumOff w14:val="5000"/>
              </w14:schemeClr>
            </w14:solidFill>
          </w14:textFill>
        </w:rPr>
        <w:t>的</w:t>
      </w:r>
      <w:r>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t>（</w:t>
      </w:r>
      <w:r>
        <w:rPr>
          <w:rFonts w:hint="eastAsia" w:ascii="仿宋" w:hAnsi="仿宋" w:eastAsia="仿宋" w:cs="仿宋"/>
          <w:color w:val="0D0D0D" w:themeColor="text1" w:themeTint="F2"/>
          <w:kern w:val="0"/>
          <w:sz w:val="21"/>
          <w:szCs w:val="21"/>
          <w:lang w:val="en-US" w:eastAsia="zh-CN"/>
          <w14:textFill>
            <w14:solidFill>
              <w14:schemeClr w14:val="tx1">
                <w14:lumMod w14:val="95000"/>
                <w14:lumOff w14:val="5000"/>
              </w14:schemeClr>
            </w14:solidFill>
          </w14:textFill>
        </w:rPr>
        <w:t>挂牌截止日17:00前</w:t>
      </w:r>
      <w:r>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t>）</w:t>
      </w:r>
      <w:r>
        <w:rPr>
          <w:rFonts w:hint="eastAsia" w:ascii="仿宋" w:hAnsi="仿宋" w:eastAsia="仿宋" w:cs="仿宋"/>
          <w:color w:val="0D0D0D" w:themeColor="text1" w:themeTint="F2"/>
          <w:kern w:val="0"/>
          <w:sz w:val="21"/>
          <w:szCs w:val="21"/>
          <w:lang w:val="en-US" w:eastAsia="zh-CN"/>
          <w14:textFill>
            <w14:solidFill>
              <w14:schemeClr w14:val="tx1">
                <w14:lumMod w14:val="95000"/>
                <w14:lumOff w14:val="5000"/>
              </w14:schemeClr>
            </w14:solidFill>
          </w14:textFill>
        </w:rPr>
        <w:t>，</w:t>
      </w:r>
      <w:r>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t>视为放弃受让资格。本项目保证金金额见网站公告，意向受让方须使用在线提交订单时确认的银行卡账户支付保证金。因意向受让方未确认真实有效的交费银行信息，导致本项目保证金无法按时通过系统审核的，造成的一切后果由意向受让方承担。</w:t>
      </w:r>
    </w:p>
    <w:p w14:paraId="2EFDE27B">
      <w:pPr>
        <w:keepNext w:val="0"/>
        <w:keepLines w:val="0"/>
        <w:pageBreakBefore w:val="0"/>
        <w:widowControl/>
        <w:kinsoku/>
        <w:wordWrap/>
        <w:overflowPunct/>
        <w:topLinePunct w:val="0"/>
        <w:autoSpaceDE/>
        <w:autoSpaceDN/>
        <w:bidi w:val="0"/>
        <w:spacing w:line="400" w:lineRule="exact"/>
        <w:ind w:right="-187" w:rightChars="-89" w:firstLine="411" w:firstLineChars="196"/>
        <w:jc w:val="left"/>
        <w:textAlignment w:val="auto"/>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t>三、参加本次网络竞价的意向受让方，应已了解并遵守《山东产权交易中心资产交易规则》、《山东产权</w:t>
      </w:r>
      <w:r>
        <w:rPr>
          <w:rFonts w:hint="eastAsia" w:ascii="仿宋" w:hAnsi="仿宋" w:eastAsia="仿宋" w:cs="仿宋"/>
          <w:color w:val="0D0D0D" w:themeColor="text1" w:themeTint="F2"/>
          <w:sz w:val="21"/>
          <w:szCs w:val="21"/>
          <w14:textFill>
            <w14:solidFill>
              <w14:schemeClr w14:val="tx1">
                <w14:lumMod w14:val="95000"/>
                <w14:lumOff w14:val="5000"/>
              </w14:schemeClr>
            </w14:solidFill>
          </w14:textFill>
        </w:rPr>
        <w:t>交易中心网络竞价实施办法》、</w:t>
      </w:r>
      <w:r>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t>《山东产权交易中心动态报价实施办法》的规定，认真阅读了本《须知》并接受其全部内容。</w:t>
      </w:r>
    </w:p>
    <w:p w14:paraId="5306CA17">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420" w:firstLineChars="200"/>
        <w:jc w:val="left"/>
        <w:textAlignment w:val="auto"/>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t>四、意向受让方应于网络竞价活动开始前，</w:t>
      </w:r>
      <w:r>
        <w:rPr>
          <w:rFonts w:hint="eastAsia" w:ascii="仿宋" w:hAnsi="仿宋" w:eastAsia="仿宋" w:cs="仿宋"/>
          <w:color w:val="0D0D0D" w:themeColor="text1" w:themeTint="F2"/>
          <w:sz w:val="21"/>
          <w:szCs w:val="21"/>
          <w14:textFill>
            <w14:solidFill>
              <w14:schemeClr w14:val="tx1">
                <w14:lumMod w14:val="95000"/>
                <w14:lumOff w14:val="5000"/>
              </w14:schemeClr>
            </w14:solidFill>
          </w14:textFill>
        </w:rPr>
        <w:t>登陆枣庄市公共</w:t>
      </w:r>
      <w:r>
        <w:rPr>
          <w:rFonts w:hint="eastAsia" w:ascii="仿宋" w:hAnsi="仿宋" w:eastAsia="仿宋" w:cs="仿宋"/>
          <w:color w:val="0D0D0D" w:themeColor="text1" w:themeTint="F2"/>
          <w:spacing w:val="-20"/>
          <w:sz w:val="21"/>
          <w:szCs w:val="21"/>
          <w14:textFill>
            <w14:solidFill>
              <w14:schemeClr w14:val="tx1">
                <w14:lumMod w14:val="95000"/>
                <w14:lumOff w14:val="5000"/>
              </w14:schemeClr>
            </w14:solidFill>
          </w14:textFill>
        </w:rPr>
        <w:t>资源国有产权交易有限公司</w:t>
      </w:r>
      <w:r>
        <w:rPr>
          <w:rFonts w:hint="eastAsia" w:ascii="仿宋" w:hAnsi="仿宋" w:eastAsia="仿宋" w:cs="仿宋"/>
          <w:color w:val="0D0D0D" w:themeColor="text1" w:themeTint="F2"/>
          <w:spacing w:val="-20"/>
          <w:sz w:val="21"/>
          <w:szCs w:val="21"/>
          <w:lang w:eastAsia="zh-CN"/>
          <w14:textFill>
            <w14:solidFill>
              <w14:schemeClr w14:val="tx1">
                <w14:lumMod w14:val="95000"/>
                <w14:lumOff w14:val="5000"/>
              </w14:schemeClr>
            </w14:solidFill>
          </w14:textFill>
        </w:rPr>
        <w:t>官方网站</w:t>
      </w:r>
      <w:r>
        <w:rPr>
          <w:rFonts w:hint="eastAsia" w:ascii="仿宋" w:hAnsi="仿宋" w:eastAsia="仿宋" w:cs="仿宋"/>
          <w:color w:val="0D0D0D" w:themeColor="text1" w:themeTint="F2"/>
          <w:sz w:val="21"/>
          <w:szCs w:val="21"/>
          <w14:textFill>
            <w14:solidFill>
              <w14:schemeClr w14:val="tx1">
                <w14:lumMod w14:val="95000"/>
                <w14:lumOff w14:val="5000"/>
              </w14:schemeClr>
            </w14:solidFill>
          </w14:textFill>
        </w:rPr>
        <w:t>（http://www.sdlncqjy.com）</w:t>
      </w:r>
      <w:r>
        <w:rPr>
          <w:rFonts w:hint="eastAsia" w:ascii="仿宋" w:hAnsi="仿宋" w:eastAsia="仿宋" w:cs="仿宋"/>
          <w:color w:val="0D0D0D" w:themeColor="text1" w:themeTint="F2"/>
          <w:sz w:val="21"/>
          <w:szCs w:val="21"/>
          <w:lang w:eastAsia="zh-CN"/>
          <w14:textFill>
            <w14:solidFill>
              <w14:schemeClr w14:val="tx1">
                <w14:lumMod w14:val="95000"/>
                <w14:lumOff w14:val="5000"/>
              </w14:schemeClr>
            </w14:solidFill>
          </w14:textFill>
        </w:rPr>
        <w:t>进行咨询报名</w:t>
      </w:r>
      <w:r>
        <w:rPr>
          <w:rFonts w:hint="eastAsia" w:ascii="仿宋" w:hAnsi="仿宋" w:eastAsia="仿宋" w:cs="仿宋"/>
          <w:color w:val="0D0D0D" w:themeColor="text1" w:themeTint="F2"/>
          <w:sz w:val="21"/>
          <w:szCs w:val="21"/>
          <w14:textFill>
            <w14:solidFill>
              <w14:schemeClr w14:val="tx1">
                <w14:lumMod w14:val="95000"/>
                <w14:lumOff w14:val="5000"/>
              </w14:schemeClr>
            </w14:solidFill>
          </w14:textFill>
        </w:rPr>
        <w:t>。</w:t>
      </w:r>
      <w:r>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t>了解并掌握相关操作规程</w:t>
      </w:r>
      <w:r>
        <w:rPr>
          <w:rFonts w:hint="eastAsia" w:ascii="仿宋" w:hAnsi="仿宋" w:eastAsia="仿宋" w:cs="仿宋"/>
          <w:color w:val="0D0D0D" w:themeColor="text1" w:themeTint="F2"/>
          <w:kern w:val="0"/>
          <w:sz w:val="21"/>
          <w:szCs w:val="21"/>
          <w:lang w:eastAsia="zh-CN"/>
          <w14:textFill>
            <w14:solidFill>
              <w14:schemeClr w14:val="tx1">
                <w14:lumMod w14:val="95000"/>
                <w14:lumOff w14:val="5000"/>
              </w14:schemeClr>
            </w14:solidFill>
          </w14:textFill>
        </w:rPr>
        <w:t>，</w:t>
      </w:r>
      <w:r>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t>本项目挂牌公告期满后，只产生一个符合条件的意向受让方的，</w:t>
      </w:r>
      <w:r>
        <w:rPr>
          <w:rFonts w:hint="eastAsia" w:ascii="仿宋" w:hAnsi="仿宋" w:eastAsia="仿宋" w:cs="仿宋"/>
          <w:color w:val="0D0D0D" w:themeColor="text1" w:themeTint="F2"/>
          <w:kern w:val="0"/>
          <w:sz w:val="21"/>
          <w:szCs w:val="21"/>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t>采取协议方式组织交易；产生两个及以上符合条件的意向受让方的，</w:t>
      </w:r>
      <w:r>
        <w:rPr>
          <w:rFonts w:hint="eastAsia" w:ascii="仿宋" w:hAnsi="仿宋" w:eastAsia="仿宋" w:cs="仿宋"/>
          <w:color w:val="0D0D0D" w:themeColor="text1" w:themeTint="F2"/>
          <w:kern w:val="0"/>
          <w:sz w:val="21"/>
          <w:szCs w:val="21"/>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t>按照挂牌公告的竞价方式组织实施公开竞价。</w:t>
      </w:r>
      <w:r>
        <w:rPr>
          <w:rFonts w:hint="eastAsia" w:ascii="仿宋" w:hAnsi="仿宋" w:eastAsia="仿宋" w:cs="仿宋"/>
          <w:color w:val="0000FF"/>
          <w:kern w:val="0"/>
          <w:sz w:val="21"/>
          <w:szCs w:val="21"/>
          <w:lang w:val="en-US" w:eastAsia="zh-CN"/>
        </w:rPr>
        <w:t>我方</w:t>
      </w:r>
      <w:r>
        <w:rPr>
          <w:rFonts w:hint="eastAsia" w:ascii="仿宋" w:hAnsi="仿宋" w:eastAsia="仿宋" w:cs="仿宋"/>
          <w:color w:val="0000FF"/>
          <w:kern w:val="0"/>
          <w:sz w:val="21"/>
          <w:szCs w:val="21"/>
        </w:rPr>
        <w:t>愿意以不低于转让底价</w:t>
      </w:r>
      <w:r>
        <w:rPr>
          <w:rFonts w:hint="eastAsia" w:ascii="仿宋" w:hAnsi="仿宋" w:eastAsia="仿宋" w:cs="仿宋"/>
          <w:color w:val="0D0D0D" w:themeColor="text1" w:themeTint="F2"/>
          <w:kern w:val="0"/>
          <w:sz w:val="21"/>
          <w:szCs w:val="21"/>
          <w:lang w:eastAsia="zh-CN"/>
          <w14:textFill>
            <w14:solidFill>
              <w14:schemeClr w14:val="tx1">
                <w14:lumMod w14:val="95000"/>
                <w14:lumOff w14:val="5000"/>
              </w14:schemeClr>
            </w14:solidFill>
          </w14:textFill>
        </w:rPr>
        <w:t>（即挂牌价格）</w:t>
      </w:r>
      <w:r>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t>购买在中心公开挂牌转让的本项目，承诺提交报名即视为以挂牌价出价</w:t>
      </w:r>
      <w:r>
        <w:rPr>
          <w:rFonts w:hint="eastAsia" w:ascii="仿宋" w:hAnsi="仿宋" w:eastAsia="仿宋" w:cs="仿宋"/>
          <w:color w:val="0D0D0D" w:themeColor="text1" w:themeTint="F2"/>
          <w:kern w:val="0"/>
          <w:sz w:val="21"/>
          <w:szCs w:val="21"/>
          <w:lang w:eastAsia="zh-CN"/>
          <w14:textFill>
            <w14:solidFill>
              <w14:schemeClr w14:val="tx1">
                <w14:lumMod w14:val="95000"/>
                <w14:lumOff w14:val="5000"/>
              </w14:schemeClr>
            </w14:solidFill>
          </w14:textFill>
        </w:rPr>
        <w:t>；</w:t>
      </w:r>
      <w:r>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t>如所有竞买人均未报价</w:t>
      </w:r>
      <w:r>
        <w:rPr>
          <w:rFonts w:hint="eastAsia" w:ascii="仿宋" w:hAnsi="仿宋" w:eastAsia="仿宋" w:cs="仿宋"/>
          <w:color w:val="0D0D0D" w:themeColor="text1" w:themeTint="F2"/>
          <w:kern w:val="0"/>
          <w:sz w:val="21"/>
          <w:szCs w:val="21"/>
          <w:lang w:eastAsia="zh-CN"/>
          <w14:textFill>
            <w14:solidFill>
              <w14:schemeClr w14:val="tx1">
                <w14:lumMod w14:val="95000"/>
                <w14:lumOff w14:val="5000"/>
              </w14:schemeClr>
            </w14:solidFill>
          </w14:textFill>
        </w:rPr>
        <w:t>的</w:t>
      </w:r>
      <w:r>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t>，</w:t>
      </w:r>
      <w:r>
        <w:rPr>
          <w:rFonts w:hint="eastAsia" w:ascii="仿宋" w:hAnsi="仿宋" w:eastAsia="仿宋" w:cs="仿宋"/>
          <w:color w:val="0D0D0D" w:themeColor="text1" w:themeTint="F2"/>
          <w:kern w:val="0"/>
          <w:sz w:val="21"/>
          <w:szCs w:val="21"/>
          <w:lang w:eastAsia="zh-CN"/>
          <w14:textFill>
            <w14:solidFill>
              <w14:schemeClr w14:val="tx1">
                <w14:lumMod w14:val="95000"/>
                <w14:lumOff w14:val="5000"/>
              </w14:schemeClr>
            </w14:solidFill>
          </w14:textFill>
        </w:rPr>
        <w:t>保证金到账</w:t>
      </w:r>
      <w:r>
        <w:rPr>
          <w:rFonts w:hint="eastAsia" w:ascii="仿宋" w:hAnsi="仿宋" w:eastAsia="仿宋" w:cs="仿宋"/>
          <w:color w:val="0D0D0D" w:themeColor="text1" w:themeTint="F2"/>
          <w:kern w:val="0"/>
          <w:sz w:val="21"/>
          <w:szCs w:val="21"/>
          <w:lang w:val="en-US" w:eastAsia="zh-CN"/>
          <w14:textFill>
            <w14:solidFill>
              <w14:schemeClr w14:val="tx1">
                <w14:lumMod w14:val="95000"/>
                <w14:lumOff w14:val="5000"/>
              </w14:schemeClr>
            </w14:solidFill>
          </w14:textFill>
        </w:rPr>
        <w:t>最早且</w:t>
      </w:r>
      <w:r>
        <w:rPr>
          <w:rFonts w:hint="eastAsia" w:ascii="仿宋" w:hAnsi="仿宋" w:eastAsia="仿宋" w:cs="仿宋"/>
          <w:color w:val="0D0D0D" w:themeColor="text1" w:themeTint="F2"/>
          <w:kern w:val="0"/>
          <w:sz w:val="21"/>
          <w:szCs w:val="21"/>
          <w:lang w:eastAsia="zh-CN"/>
          <w14:textFill>
            <w14:solidFill>
              <w14:schemeClr w14:val="tx1">
                <w14:lumMod w14:val="95000"/>
                <w14:lumOff w14:val="5000"/>
              </w14:schemeClr>
            </w14:solidFill>
          </w14:textFill>
        </w:rPr>
        <w:t>通过资格审核的意向</w:t>
      </w:r>
      <w:r>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t>受让方</w:t>
      </w:r>
      <w:r>
        <w:rPr>
          <w:rFonts w:hint="eastAsia" w:ascii="仿宋" w:hAnsi="仿宋" w:eastAsia="仿宋" w:cs="仿宋"/>
          <w:color w:val="0D0D0D" w:themeColor="text1" w:themeTint="F2"/>
          <w:kern w:val="0"/>
          <w:sz w:val="21"/>
          <w:szCs w:val="21"/>
          <w:lang w:eastAsia="zh-CN"/>
          <w14:textFill>
            <w14:solidFill>
              <w14:schemeClr w14:val="tx1">
                <w14:lumMod w14:val="95000"/>
                <w14:lumOff w14:val="5000"/>
              </w14:schemeClr>
            </w14:solidFill>
          </w14:textFill>
        </w:rPr>
        <w:t>确定为最终受让方，</w:t>
      </w:r>
      <w:r>
        <w:rPr>
          <w:rFonts w:hint="eastAsia" w:ascii="仿宋" w:hAnsi="仿宋" w:eastAsia="仿宋" w:cs="仿宋"/>
          <w:color w:val="0D0D0D" w:themeColor="text1" w:themeTint="F2"/>
          <w:kern w:val="0"/>
          <w:sz w:val="21"/>
          <w:szCs w:val="21"/>
          <w:lang w:val="en-US" w:eastAsia="zh-CN"/>
          <w14:textFill>
            <w14:solidFill>
              <w14:schemeClr w14:val="tx1">
                <w14:lumMod w14:val="95000"/>
                <w14:lumOff w14:val="5000"/>
              </w14:schemeClr>
            </w14:solidFill>
          </w14:textFill>
        </w:rPr>
        <w:t>成交</w:t>
      </w:r>
      <w:r>
        <w:rPr>
          <w:rFonts w:hint="eastAsia" w:ascii="仿宋" w:hAnsi="仿宋" w:eastAsia="仿宋" w:cs="仿宋"/>
          <w:color w:val="0D0D0D" w:themeColor="text1" w:themeTint="F2"/>
          <w:kern w:val="0"/>
          <w:sz w:val="21"/>
          <w:szCs w:val="21"/>
          <w:lang w:eastAsia="zh-CN"/>
          <w14:textFill>
            <w14:solidFill>
              <w14:schemeClr w14:val="tx1">
                <w14:lumMod w14:val="95000"/>
                <w14:lumOff w14:val="5000"/>
              </w14:schemeClr>
            </w14:solidFill>
          </w14:textFill>
        </w:rPr>
        <w:t>价</w:t>
      </w:r>
      <w:r>
        <w:rPr>
          <w:rFonts w:hint="eastAsia" w:ascii="仿宋" w:hAnsi="仿宋" w:eastAsia="仿宋" w:cs="仿宋"/>
          <w:color w:val="0D0D0D" w:themeColor="text1" w:themeTint="F2"/>
          <w:kern w:val="0"/>
          <w:sz w:val="21"/>
          <w:szCs w:val="21"/>
          <w:lang w:val="en-US" w:eastAsia="zh-CN"/>
          <w14:textFill>
            <w14:solidFill>
              <w14:schemeClr w14:val="tx1">
                <w14:lumMod w14:val="95000"/>
                <w14:lumOff w14:val="5000"/>
              </w14:schemeClr>
            </w14:solidFill>
          </w14:textFill>
        </w:rPr>
        <w:t>格</w:t>
      </w:r>
      <w:r>
        <w:rPr>
          <w:rFonts w:hint="eastAsia" w:ascii="仿宋" w:hAnsi="仿宋" w:eastAsia="仿宋" w:cs="仿宋"/>
          <w:color w:val="0D0D0D" w:themeColor="text1" w:themeTint="F2"/>
          <w:kern w:val="0"/>
          <w:sz w:val="21"/>
          <w:szCs w:val="21"/>
          <w:lang w:eastAsia="zh-CN"/>
          <w14:textFill>
            <w14:solidFill>
              <w14:schemeClr w14:val="tx1">
                <w14:lumMod w14:val="95000"/>
                <w14:lumOff w14:val="5000"/>
              </w14:schemeClr>
            </w14:solidFill>
          </w14:textFill>
        </w:rPr>
        <w:t>为</w:t>
      </w:r>
      <w:r>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t>挂牌价。</w:t>
      </w:r>
    </w:p>
    <w:p w14:paraId="394CC692">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420" w:firstLineChars="200"/>
        <w:jc w:val="left"/>
        <w:textAlignment w:val="auto"/>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1"/>
          <w:szCs w:val="21"/>
          <w:lang w:val="en-US" w:eastAsia="zh-CN"/>
          <w14:textFill>
            <w14:solidFill>
              <w14:schemeClr w14:val="tx1">
                <w14:lumMod w14:val="95000"/>
                <w14:lumOff w14:val="5000"/>
              </w14:schemeClr>
            </w14:solidFill>
          </w14:textFill>
        </w:rPr>
        <w:t>五、</w:t>
      </w:r>
      <w:r>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t>本次网络竞价活动按转让标的现状进行竞价。</w:t>
      </w:r>
      <w:r>
        <w:rPr>
          <w:rFonts w:hint="eastAsia" w:ascii="仿宋" w:hAnsi="仿宋" w:eastAsia="仿宋" w:cs="仿宋"/>
          <w:color w:val="0D0D0D" w:themeColor="text1" w:themeTint="F2"/>
          <w:kern w:val="0"/>
          <w:sz w:val="21"/>
          <w:szCs w:val="21"/>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t>披露的标的信息仅供意向受让方参考，不对标的质量和使用性能做任何担保。</w:t>
      </w:r>
      <w:r>
        <w:rPr>
          <w:rFonts w:hint="eastAsia" w:ascii="仿宋" w:hAnsi="仿宋" w:eastAsia="仿宋" w:cs="仿宋"/>
          <w:color w:val="0D0D0D" w:themeColor="text1" w:themeTint="F2"/>
          <w:kern w:val="0"/>
          <w:sz w:val="21"/>
          <w:szCs w:val="21"/>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t>按转让方要求进行标的图片、文字或实物展示。</w:t>
      </w:r>
    </w:p>
    <w:p w14:paraId="2C319779">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420" w:firstLineChars="200"/>
        <w:jc w:val="left"/>
        <w:textAlignment w:val="auto"/>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1"/>
          <w:szCs w:val="21"/>
          <w:lang w:val="en-US" w:eastAsia="zh-CN"/>
          <w14:textFill>
            <w14:solidFill>
              <w14:schemeClr w14:val="tx1">
                <w14:lumMod w14:val="95000"/>
                <w14:lumOff w14:val="5000"/>
              </w14:schemeClr>
            </w14:solidFill>
          </w14:textFill>
        </w:rPr>
        <w:t>六、</w:t>
      </w:r>
      <w:r>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t>1、本次转让标的为待报废的固定资产61件。账面原值184127元，评估价值为：人民币1199元，大写壹仟壹佰玖拾玖元整。标的数量、规格最终以现场实物现状为准。</w:t>
      </w:r>
      <w:r>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br w:type="textWrapping"/>
      </w:r>
      <w:r>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t>2、该标的为废旧资产，意向受让方需明确废旧物资真实现状；转让方已对已知重大事项进行披露，并强调意向受让方须亲自实地看样。未查看标的竞买人，一经报名即视为对本标的实物现状的确认，责任自负。</w:t>
      </w:r>
      <w:r>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br w:type="textWrapping"/>
      </w:r>
      <w:r>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t>3、意向受让方须承诺，自行承担标的资产牵涉的拆除、搬运、清理等全部费用。并承担清运过程中如发生安全、环保问题的全部责任。成交后，不论标的存在任何问题，均由受让方自行承担。</w:t>
      </w:r>
      <w:r>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br w:type="textWrapping"/>
      </w:r>
      <w:r>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t>4、看货联系人：高女士，联系电话：0632-8836876。本次处置价款全额上缴区级财政，不提供增值税发票。</w:t>
      </w:r>
      <w:r>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br w:type="textWrapping"/>
      </w:r>
      <w:r>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t>5、其他重大事项详见枣庄中实资产评估事务所枣中实评报字〔2026〕44号。</w:t>
      </w:r>
    </w:p>
    <w:p w14:paraId="448105F4">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420" w:firstLineChars="200"/>
        <w:jc w:val="left"/>
        <w:textAlignment w:val="auto"/>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1"/>
          <w:szCs w:val="21"/>
          <w:lang w:val="en-US" w:eastAsia="zh-CN"/>
          <w14:textFill>
            <w14:solidFill>
              <w14:schemeClr w14:val="tx1">
                <w14:lumMod w14:val="95000"/>
                <w14:lumOff w14:val="5000"/>
              </w14:schemeClr>
            </w14:solidFill>
          </w14:textFill>
        </w:rPr>
        <w:t>七、</w:t>
      </w:r>
      <w:r>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t>本次网络竞价底价为</w:t>
      </w:r>
      <w:r>
        <w:rPr>
          <w:rFonts w:hint="eastAsia" w:ascii="仿宋" w:hAnsi="仿宋" w:eastAsia="仿宋" w:cs="仿宋"/>
          <w:color w:val="0D0D0D" w:themeColor="text1" w:themeTint="F2"/>
          <w:kern w:val="0"/>
          <w:sz w:val="21"/>
          <w:szCs w:val="21"/>
          <w:lang w:val="en-US" w:eastAsia="zh-CN"/>
          <w14:textFill>
            <w14:solidFill>
              <w14:schemeClr w14:val="tx1">
                <w14:lumMod w14:val="95000"/>
                <w14:lumOff w14:val="5000"/>
              </w14:schemeClr>
            </w14:solidFill>
          </w14:textFill>
        </w:rPr>
        <w:t>0.1199</w:t>
      </w:r>
      <w:r>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t>万元。</w:t>
      </w:r>
    </w:p>
    <w:p w14:paraId="349C4867">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420" w:firstLineChars="200"/>
        <w:jc w:val="left"/>
        <w:textAlignment w:val="auto"/>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t>本次交易采用网络竞价方式组织交易。网络竞价开始时间另行通知。竞价过程由多个连续报价周期组成，每个报价周期为</w:t>
      </w:r>
      <w:r>
        <w:rPr>
          <w:rFonts w:hint="eastAsia" w:ascii="仿宋" w:hAnsi="仿宋" w:eastAsia="仿宋" w:cs="仿宋"/>
          <w:color w:val="0D0D0D" w:themeColor="text1" w:themeTint="F2"/>
          <w:kern w:val="0"/>
          <w:sz w:val="21"/>
          <w:szCs w:val="21"/>
          <w:lang w:val="en-US" w:eastAsia="zh-CN"/>
          <w14:textFill>
            <w14:solidFill>
              <w14:schemeClr w14:val="tx1">
                <w14:lumMod w14:val="95000"/>
                <w14:lumOff w14:val="5000"/>
              </w14:schemeClr>
            </w14:solidFill>
          </w14:textFill>
        </w:rPr>
        <w:t>5</w:t>
      </w:r>
      <w:r>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t xml:space="preserve">分钟（即 </w:t>
      </w:r>
      <w:r>
        <w:rPr>
          <w:rFonts w:hint="eastAsia" w:ascii="仿宋" w:hAnsi="仿宋" w:eastAsia="仿宋" w:cs="仿宋"/>
          <w:color w:val="0D0D0D" w:themeColor="text1" w:themeTint="F2"/>
          <w:kern w:val="0"/>
          <w:sz w:val="21"/>
          <w:szCs w:val="21"/>
          <w:lang w:val="en-US" w:eastAsia="zh-CN"/>
          <w14:textFill>
            <w14:solidFill>
              <w14:schemeClr w14:val="tx1">
                <w14:lumMod w14:val="95000"/>
                <w14:lumOff w14:val="5000"/>
              </w14:schemeClr>
            </w14:solidFill>
          </w14:textFill>
        </w:rPr>
        <w:t>300</w:t>
      </w:r>
      <w:r>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t>秒）。在每个报价周期内，如出现新的有效报价，则进入新的报价周期；在一个报价周期内如未出现新的有效报价，则当前有效报价方成为本次交易的受让方。</w:t>
      </w:r>
    </w:p>
    <w:p w14:paraId="347BDCA4">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420" w:firstLineChars="200"/>
        <w:jc w:val="left"/>
        <w:textAlignment w:val="auto"/>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1"/>
          <w:szCs w:val="21"/>
          <w:lang w:val="en-US" w:eastAsia="zh-CN"/>
          <w14:textFill>
            <w14:solidFill>
              <w14:schemeClr w14:val="tx1">
                <w14:lumMod w14:val="95000"/>
                <w14:lumOff w14:val="5000"/>
              </w14:schemeClr>
            </w14:solidFill>
          </w14:textFill>
        </w:rPr>
        <w:t>八、</w:t>
      </w:r>
      <w:r>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t>网络竞价加价规则：</w:t>
      </w:r>
    </w:p>
    <w:p w14:paraId="0634ADE5">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420" w:firstLineChars="200"/>
        <w:jc w:val="left"/>
        <w:textAlignment w:val="auto"/>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t>本次网络竞价的加价幅度为</w:t>
      </w:r>
      <w:r>
        <w:rPr>
          <w:rFonts w:hint="eastAsia" w:ascii="仿宋" w:hAnsi="仿宋" w:eastAsia="仿宋" w:cs="仿宋"/>
          <w:color w:val="0D0D0D" w:themeColor="text1" w:themeTint="F2"/>
          <w:kern w:val="0"/>
          <w:sz w:val="21"/>
          <w:szCs w:val="21"/>
          <w:lang w:val="en-US" w:eastAsia="zh-CN"/>
          <w14:textFill>
            <w14:solidFill>
              <w14:schemeClr w14:val="tx1">
                <w14:lumMod w14:val="95000"/>
                <w14:lumOff w14:val="5000"/>
              </w14:schemeClr>
            </w14:solidFill>
          </w14:textFill>
        </w:rPr>
        <w:t>100</w:t>
      </w:r>
      <w:r>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t>元人民币。除对报价底价应价外，各意向受让方每次加价不得低于加价幅度。</w:t>
      </w:r>
    </w:p>
    <w:p w14:paraId="309DEA8F">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420" w:firstLineChars="200"/>
        <w:jc w:val="left"/>
        <w:textAlignment w:val="auto"/>
        <w:rPr>
          <w:rFonts w:hint="eastAsia" w:ascii="仿宋" w:hAnsi="仿宋" w:eastAsia="仿宋" w:cs="仿宋"/>
          <w:color w:val="0D0D0D" w:themeColor="text1" w:themeTint="F2"/>
          <w:kern w:val="0"/>
          <w:sz w:val="21"/>
          <w:szCs w:val="21"/>
          <w:lang w:val="en-US" w:eastAsia="zh-CN"/>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1"/>
          <w:szCs w:val="21"/>
          <w:lang w:val="en-US" w:eastAsia="zh-CN"/>
          <w14:textFill>
            <w14:solidFill>
              <w14:schemeClr w14:val="tx1">
                <w14:lumMod w14:val="95000"/>
                <w14:lumOff w14:val="5000"/>
              </w14:schemeClr>
            </w14:solidFill>
          </w14:textFill>
        </w:rPr>
        <w:t>九、</w:t>
      </w:r>
      <w:r>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t>网络竞价成交后，</w:t>
      </w:r>
      <w:r>
        <w:rPr>
          <w:rFonts w:hint="eastAsia" w:ascii="仿宋" w:hAnsi="仿宋" w:eastAsia="仿宋" w:cs="仿宋"/>
          <w:color w:val="0D0D0D" w:themeColor="text1" w:themeTint="F2"/>
          <w:kern w:val="0"/>
          <w:sz w:val="21"/>
          <w:szCs w:val="21"/>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t>向受让方出具《竞价结果通知书》，受让方应现场签署上述文件或于当天将签署后的文件通过传真或扫描件发邮件的形式发送至</w:t>
      </w:r>
      <w:r>
        <w:rPr>
          <w:rFonts w:hint="eastAsia" w:ascii="仿宋" w:hAnsi="仿宋" w:eastAsia="仿宋" w:cs="仿宋"/>
          <w:color w:val="0D0D0D" w:themeColor="text1" w:themeTint="F2"/>
          <w:kern w:val="0"/>
          <w:sz w:val="21"/>
          <w:szCs w:val="21"/>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t>。并按照《竞价结果通知书》的要求与转让方签署《资产交易合同》，并按照规定支付成交价款，成交价款无息结算。受让方同意按照国家和山东省有关规定通过</w:t>
      </w:r>
      <w:r>
        <w:rPr>
          <w:rFonts w:hint="eastAsia" w:ascii="仿宋" w:hAnsi="仿宋" w:eastAsia="仿宋" w:cs="仿宋"/>
          <w:color w:val="0D0D0D" w:themeColor="text1" w:themeTint="F2"/>
          <w:kern w:val="0"/>
          <w:sz w:val="21"/>
          <w:szCs w:val="21"/>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t>指定的交易资金专用结算账户办理本次交易价款的结算手续。交易价款无息结算。同时受让方应向中心支付</w:t>
      </w:r>
      <w:r>
        <w:rPr>
          <w:rFonts w:hint="eastAsia" w:ascii="仿宋" w:hAnsi="仿宋" w:eastAsia="仿宋" w:cs="仿宋"/>
          <w:color w:val="0D0D0D" w:themeColor="text1" w:themeTint="F2"/>
          <w:kern w:val="0"/>
          <w:sz w:val="21"/>
          <w:szCs w:val="21"/>
          <w:lang w:val="en-US" w:eastAsia="zh-CN"/>
          <w14:textFill>
            <w14:solidFill>
              <w14:schemeClr w14:val="tx1">
                <w14:lumMod w14:val="95000"/>
                <w14:lumOff w14:val="5000"/>
              </w14:schemeClr>
            </w14:solidFill>
          </w14:textFill>
        </w:rPr>
        <w:t>基础服务费</w:t>
      </w:r>
      <w:r>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t>、竞价佣金按下列标准交纳：</w:t>
      </w:r>
      <w:r>
        <w:rPr>
          <w:rFonts w:hint="eastAsia" w:ascii="仿宋" w:hAnsi="仿宋" w:eastAsia="仿宋" w:cs="仿宋"/>
          <w:color w:val="0D0D0D" w:themeColor="text1" w:themeTint="F2"/>
          <w:kern w:val="0"/>
          <w:sz w:val="21"/>
          <w:szCs w:val="21"/>
          <w:lang w:val="en-US" w:eastAsia="zh-CN"/>
          <w14:textFill>
            <w14:solidFill>
              <w14:schemeClr w14:val="tx1">
                <w14:lumMod w14:val="95000"/>
                <w14:lumOff w14:val="5000"/>
              </w14:schemeClr>
            </w14:solidFill>
          </w14:textFill>
        </w:rPr>
        <w:t>基础服务</w:t>
      </w:r>
      <w:r>
        <w:rPr>
          <w:rFonts w:hint="eastAsia" w:ascii="仿宋" w:hAnsi="仿宋" w:eastAsia="仿宋" w:cs="仿宋"/>
          <w:color w:val="0D0D0D" w:themeColor="text1" w:themeTint="F2"/>
          <w:kern w:val="0"/>
          <w:sz w:val="21"/>
          <w:szCs w:val="21"/>
          <w:lang w:eastAsia="zh-CN"/>
          <w14:textFill>
            <w14:solidFill>
              <w14:schemeClr w14:val="tx1">
                <w14:lumMod w14:val="95000"/>
                <w14:lumOff w14:val="5000"/>
              </w14:schemeClr>
            </w14:solidFill>
          </w14:textFill>
        </w:rPr>
        <w:t>费用</w:t>
      </w:r>
      <w:r>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t>按成交</w:t>
      </w:r>
      <w:r>
        <w:rPr>
          <w:rFonts w:hint="eastAsia" w:ascii="仿宋" w:hAnsi="仿宋" w:eastAsia="仿宋" w:cs="仿宋"/>
          <w:color w:val="0D0D0D" w:themeColor="text1" w:themeTint="F2"/>
          <w:kern w:val="0"/>
          <w:sz w:val="21"/>
          <w:szCs w:val="21"/>
          <w:lang w:eastAsia="zh-CN"/>
          <w14:textFill>
            <w14:solidFill>
              <w14:schemeClr w14:val="tx1">
                <w14:lumMod w14:val="95000"/>
                <w14:lumOff w14:val="5000"/>
              </w14:schemeClr>
            </w14:solidFill>
          </w14:textFill>
        </w:rPr>
        <w:t>额</w:t>
      </w:r>
      <w:r>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t>的</w:t>
      </w:r>
      <w:r>
        <w:rPr>
          <w:rFonts w:hint="eastAsia" w:ascii="仿宋" w:hAnsi="仿宋" w:eastAsia="仿宋" w:cs="仿宋"/>
          <w:color w:val="0D0D0D" w:themeColor="text1" w:themeTint="F2"/>
          <w:kern w:val="0"/>
          <w:sz w:val="21"/>
          <w:szCs w:val="21"/>
          <w:lang w:val="en-US" w:eastAsia="zh-CN"/>
          <w14:textFill>
            <w14:solidFill>
              <w14:schemeClr w14:val="tx1">
                <w14:lumMod w14:val="95000"/>
                <w14:lumOff w14:val="5000"/>
              </w14:schemeClr>
            </w14:solidFill>
          </w14:textFill>
        </w:rPr>
        <w:t>1</w:t>
      </w:r>
      <w:r>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t>‰收取，竞价佣金按</w:t>
      </w:r>
      <w:r>
        <w:rPr>
          <w:rFonts w:hint="eastAsia" w:ascii="仿宋" w:hAnsi="仿宋" w:eastAsia="仿宋" w:cs="仿宋"/>
          <w:color w:val="0D0D0D" w:themeColor="text1" w:themeTint="F2"/>
          <w:kern w:val="0"/>
          <w:sz w:val="21"/>
          <w:szCs w:val="21"/>
          <w:lang w:val="en-US" w:eastAsia="zh-CN"/>
          <w14:textFill>
            <w14:solidFill>
              <w14:schemeClr w14:val="tx1">
                <w14:lumMod w14:val="95000"/>
                <w14:lumOff w14:val="5000"/>
              </w14:schemeClr>
            </w14:solidFill>
          </w14:textFill>
        </w:rPr>
        <w:t>转让底价</w:t>
      </w:r>
      <w:r>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t>的</w:t>
      </w:r>
      <w:r>
        <w:rPr>
          <w:rFonts w:hint="eastAsia" w:ascii="仿宋" w:hAnsi="仿宋" w:eastAsia="仿宋" w:cs="仿宋"/>
          <w:color w:val="0D0D0D" w:themeColor="text1" w:themeTint="F2"/>
          <w:kern w:val="0"/>
          <w:sz w:val="21"/>
          <w:szCs w:val="21"/>
          <w:lang w:val="en-US" w:eastAsia="zh-CN"/>
          <w14:textFill>
            <w14:solidFill>
              <w14:schemeClr w14:val="tx1">
                <w14:lumMod w14:val="95000"/>
                <w14:lumOff w14:val="5000"/>
              </w14:schemeClr>
            </w14:solidFill>
          </w14:textFill>
        </w:rPr>
        <w:t>3</w:t>
      </w:r>
      <w:r>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t>%收取</w:t>
      </w:r>
      <w:r>
        <w:rPr>
          <w:rFonts w:hint="eastAsia" w:ascii="仿宋" w:hAnsi="仿宋" w:eastAsia="仿宋" w:cs="仿宋"/>
          <w:color w:val="0D0D0D" w:themeColor="text1" w:themeTint="F2"/>
          <w:kern w:val="0"/>
          <w:sz w:val="21"/>
          <w:szCs w:val="21"/>
          <w:lang w:eastAsia="zh-CN"/>
          <w14:textFill>
            <w14:solidFill>
              <w14:schemeClr w14:val="tx1">
                <w14:lumMod w14:val="95000"/>
                <w14:lumOff w14:val="5000"/>
              </w14:schemeClr>
            </w14:solidFill>
          </w14:textFill>
        </w:rPr>
        <w:t>。</w:t>
      </w:r>
    </w:p>
    <w:p w14:paraId="6B37BB80">
      <w:pPr>
        <w:keepNext w:val="0"/>
        <w:keepLines w:val="0"/>
        <w:pageBreakBefore w:val="0"/>
        <w:widowControl/>
        <w:numPr>
          <w:ilvl w:val="0"/>
          <w:numId w:val="0"/>
        </w:numPr>
        <w:kinsoku/>
        <w:wordWrap/>
        <w:overflowPunct/>
        <w:topLinePunct w:val="0"/>
        <w:autoSpaceDE/>
        <w:autoSpaceDN/>
        <w:bidi w:val="0"/>
        <w:adjustRightInd w:val="0"/>
        <w:snapToGrid w:val="0"/>
        <w:spacing w:line="400" w:lineRule="exact"/>
        <w:ind w:firstLine="420" w:firstLineChars="200"/>
        <w:jc w:val="left"/>
        <w:textAlignment w:val="auto"/>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1"/>
          <w:szCs w:val="21"/>
          <w:lang w:val="en-US" w:eastAsia="zh-CN"/>
          <w14:textFill>
            <w14:solidFill>
              <w14:schemeClr w14:val="tx1">
                <w14:lumMod w14:val="95000"/>
                <w14:lumOff w14:val="5000"/>
              </w14:schemeClr>
            </w14:solidFill>
          </w14:textFill>
        </w:rPr>
        <w:t>十</w:t>
      </w:r>
      <w:r>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t>、受让方的保证金转</w:t>
      </w:r>
      <w:r>
        <w:rPr>
          <w:rFonts w:hint="eastAsia" w:ascii="仿宋" w:hAnsi="仿宋" w:eastAsia="仿宋" w:cs="仿宋"/>
          <w:color w:val="0D0D0D" w:themeColor="text1" w:themeTint="F2"/>
          <w:kern w:val="0"/>
          <w:sz w:val="21"/>
          <w:szCs w:val="21"/>
          <w:lang w:val="en-US" w:eastAsia="zh-CN"/>
          <w14:textFill>
            <w14:solidFill>
              <w14:schemeClr w14:val="tx1">
                <w14:lumMod w14:val="95000"/>
                <w14:lumOff w14:val="5000"/>
              </w14:schemeClr>
            </w14:solidFill>
          </w14:textFill>
        </w:rPr>
        <w:t>为项目总价款</w:t>
      </w:r>
      <w:r>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t>，未购买成功且无违约责任的其他意向受让方，</w:t>
      </w:r>
      <w:r>
        <w:rPr>
          <w:rFonts w:hint="eastAsia" w:ascii="仿宋" w:hAnsi="仿宋" w:eastAsia="仿宋" w:cs="仿宋"/>
          <w:color w:val="0D0D0D" w:themeColor="text1" w:themeTint="F2"/>
          <w:kern w:val="0"/>
          <w:sz w:val="21"/>
          <w:szCs w:val="21"/>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t>于网络竞价结束后</w:t>
      </w:r>
      <w:r>
        <w:rPr>
          <w:rFonts w:hint="eastAsia" w:ascii="仿宋" w:hAnsi="仿宋" w:eastAsia="仿宋" w:cs="仿宋"/>
          <w:color w:val="0D0D0D" w:themeColor="text1" w:themeTint="F2"/>
          <w:kern w:val="0"/>
          <w:sz w:val="21"/>
          <w:szCs w:val="21"/>
          <w:lang w:val="en-US" w:eastAsia="zh-CN"/>
          <w14:textFill>
            <w14:solidFill>
              <w14:schemeClr w14:val="tx1">
                <w14:lumMod w14:val="95000"/>
                <w14:lumOff w14:val="5000"/>
              </w14:schemeClr>
            </w14:solidFill>
          </w14:textFill>
        </w:rPr>
        <w:t>5</w:t>
      </w:r>
      <w:r>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t>个工作日内将保证金无息退还。</w:t>
      </w:r>
    </w:p>
    <w:p w14:paraId="148ABE7F">
      <w:pPr>
        <w:keepNext w:val="0"/>
        <w:keepLines w:val="0"/>
        <w:pageBreakBefore w:val="0"/>
        <w:widowControl/>
        <w:kinsoku/>
        <w:wordWrap/>
        <w:overflowPunct/>
        <w:topLinePunct w:val="0"/>
        <w:autoSpaceDE/>
        <w:autoSpaceDN/>
        <w:bidi w:val="0"/>
        <w:adjustRightInd w:val="0"/>
        <w:snapToGrid w:val="0"/>
        <w:spacing w:line="400" w:lineRule="exact"/>
        <w:ind w:firstLine="420" w:firstLineChars="200"/>
        <w:jc w:val="left"/>
        <w:textAlignment w:val="auto"/>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t>十</w:t>
      </w:r>
      <w:r>
        <w:rPr>
          <w:rFonts w:hint="eastAsia" w:ascii="仿宋" w:hAnsi="仿宋" w:eastAsia="仿宋" w:cs="仿宋"/>
          <w:color w:val="0D0D0D" w:themeColor="text1" w:themeTint="F2"/>
          <w:kern w:val="0"/>
          <w:sz w:val="21"/>
          <w:szCs w:val="21"/>
          <w:lang w:val="en-US" w:eastAsia="zh-CN"/>
          <w14:textFill>
            <w14:solidFill>
              <w14:schemeClr w14:val="tx1">
                <w14:lumMod w14:val="95000"/>
                <w14:lumOff w14:val="5000"/>
              </w14:schemeClr>
            </w14:solidFill>
          </w14:textFill>
        </w:rPr>
        <w:t>一</w:t>
      </w:r>
      <w:r>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t>、意向受让方提供虚假资料、扰乱报价、恶意串通或其他违反法律法规的，</w:t>
      </w:r>
      <w:r>
        <w:rPr>
          <w:rFonts w:hint="eastAsia" w:ascii="仿宋" w:hAnsi="仿宋" w:eastAsia="仿宋" w:cs="仿宋"/>
          <w:color w:val="0D0D0D" w:themeColor="text1" w:themeTint="F2"/>
          <w:kern w:val="0"/>
          <w:sz w:val="21"/>
          <w:szCs w:val="21"/>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t>有权取消其网络竞价参与资格、确认报价无效，并冻结其保证金，保留对其追究法律责任的权利。</w:t>
      </w:r>
    </w:p>
    <w:p w14:paraId="6B6BD861">
      <w:pPr>
        <w:keepNext w:val="0"/>
        <w:keepLines w:val="0"/>
        <w:pageBreakBefore w:val="0"/>
        <w:widowControl/>
        <w:kinsoku/>
        <w:wordWrap/>
        <w:overflowPunct/>
        <w:topLinePunct w:val="0"/>
        <w:autoSpaceDE/>
        <w:autoSpaceDN/>
        <w:bidi w:val="0"/>
        <w:adjustRightInd w:val="0"/>
        <w:snapToGrid w:val="0"/>
        <w:spacing w:line="400" w:lineRule="exact"/>
        <w:ind w:firstLine="490"/>
        <w:jc w:val="left"/>
        <w:textAlignment w:val="auto"/>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t>十</w:t>
      </w:r>
      <w:r>
        <w:rPr>
          <w:rFonts w:hint="eastAsia" w:ascii="仿宋" w:hAnsi="仿宋" w:eastAsia="仿宋" w:cs="仿宋"/>
          <w:color w:val="0D0D0D" w:themeColor="text1" w:themeTint="F2"/>
          <w:kern w:val="0"/>
          <w:sz w:val="21"/>
          <w:szCs w:val="21"/>
          <w:lang w:val="en-US" w:eastAsia="zh-CN"/>
          <w14:textFill>
            <w14:solidFill>
              <w14:schemeClr w14:val="tx1">
                <w14:lumMod w14:val="95000"/>
                <w14:lumOff w14:val="5000"/>
              </w14:schemeClr>
            </w14:solidFill>
          </w14:textFill>
        </w:rPr>
        <w:t>二</w:t>
      </w:r>
      <w:r>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t>、受让方未按时支付成交价款及交易费用的，构成违约。</w:t>
      </w:r>
      <w:r>
        <w:rPr>
          <w:rFonts w:hint="eastAsia" w:ascii="仿宋" w:hAnsi="仿宋" w:eastAsia="仿宋" w:cs="仿宋"/>
          <w:color w:val="0D0D0D" w:themeColor="text1" w:themeTint="F2"/>
          <w:kern w:val="0"/>
          <w:sz w:val="21"/>
          <w:szCs w:val="21"/>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t>有权冻结其保证金，违约方须向中心交纳本次网络竞价中受让方及转让方应支付的交易费用。中心有权再次组织本项目的交易活动，再次成交的成交价如低于本次成交价，则差额部分由违约方补足。违约方的保证金不足以弥补上述费用的，中心、转让方有权向违约方进行追索。</w:t>
      </w:r>
    </w:p>
    <w:p w14:paraId="3FF6DB4F">
      <w:pPr>
        <w:keepNext w:val="0"/>
        <w:keepLines w:val="0"/>
        <w:pageBreakBefore w:val="0"/>
        <w:widowControl/>
        <w:kinsoku/>
        <w:wordWrap/>
        <w:overflowPunct/>
        <w:topLinePunct w:val="0"/>
        <w:autoSpaceDE/>
        <w:autoSpaceDN/>
        <w:bidi w:val="0"/>
        <w:adjustRightInd w:val="0"/>
        <w:snapToGrid w:val="0"/>
        <w:spacing w:line="400" w:lineRule="exact"/>
        <w:ind w:firstLine="490"/>
        <w:jc w:val="left"/>
        <w:textAlignment w:val="auto"/>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t>本次资产转让有关的变更手续办理完毕后，受让方应在3个工作日内通知中心将交易价款无息划转给转让方。如受让方自本次资产转让有关的变更手续办理完毕之日起10个工作日未通知中心将交易价款无息划转给转让方，且未向中心提交书面异议并就《资产交易合同》的履行提交诉讼、仲裁的，中心有权自行将交易价款无息划转给转让方。</w:t>
      </w:r>
    </w:p>
    <w:p w14:paraId="08D9EE3B">
      <w:pPr>
        <w:keepNext w:val="0"/>
        <w:keepLines w:val="0"/>
        <w:pageBreakBefore w:val="0"/>
        <w:widowControl/>
        <w:kinsoku/>
        <w:wordWrap/>
        <w:overflowPunct/>
        <w:topLinePunct w:val="0"/>
        <w:autoSpaceDE/>
        <w:autoSpaceDN/>
        <w:bidi w:val="0"/>
        <w:adjustRightInd w:val="0"/>
        <w:snapToGrid w:val="0"/>
        <w:spacing w:line="400" w:lineRule="exact"/>
        <w:ind w:firstLine="490"/>
        <w:jc w:val="left"/>
        <w:textAlignment w:val="auto"/>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t>十</w:t>
      </w:r>
      <w:r>
        <w:rPr>
          <w:rFonts w:hint="eastAsia" w:ascii="仿宋" w:hAnsi="仿宋" w:eastAsia="仿宋" w:cs="仿宋"/>
          <w:color w:val="0D0D0D" w:themeColor="text1" w:themeTint="F2"/>
          <w:kern w:val="0"/>
          <w:sz w:val="21"/>
          <w:szCs w:val="21"/>
          <w:lang w:val="en-US" w:eastAsia="zh-CN"/>
          <w14:textFill>
            <w14:solidFill>
              <w14:schemeClr w14:val="tx1">
                <w14:lumMod w14:val="95000"/>
                <w14:lumOff w14:val="5000"/>
              </w14:schemeClr>
            </w14:solidFill>
          </w14:textFill>
        </w:rPr>
        <w:t>三</w:t>
      </w:r>
      <w:r>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t>、意向受让方承诺：</w:t>
      </w:r>
    </w:p>
    <w:p w14:paraId="7113F228">
      <w:pPr>
        <w:keepNext w:val="0"/>
        <w:keepLines w:val="0"/>
        <w:pageBreakBefore w:val="0"/>
        <w:widowControl/>
        <w:kinsoku/>
        <w:wordWrap/>
        <w:overflowPunct/>
        <w:topLinePunct w:val="0"/>
        <w:autoSpaceDE/>
        <w:autoSpaceDN/>
        <w:bidi w:val="0"/>
        <w:adjustRightInd w:val="0"/>
        <w:snapToGrid w:val="0"/>
        <w:spacing w:line="400" w:lineRule="exact"/>
        <w:ind w:firstLine="420" w:firstLineChars="200"/>
        <w:jc w:val="left"/>
        <w:textAlignment w:val="auto"/>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t>在挂牌公告期间已自行对标的资产进行了全面了解，一经递交受让申请并交纳交易保证金后，即表明理解并接受本次资产转让的所有内容及程序，完全了解与认可转让标的状况以及存在的瑕疵等一切内容，并自行承担受让标的所带来的一切风险和后果；成为最终受让方后不得以不了解转让标的为由退还转让标的，否则将视为违约；非因转让方原因所引发的风险因素，由我方自行承担。</w:t>
      </w:r>
    </w:p>
    <w:p w14:paraId="31B183FD">
      <w:pPr>
        <w:keepNext w:val="0"/>
        <w:keepLines w:val="0"/>
        <w:pageBreakBefore w:val="0"/>
        <w:widowControl/>
        <w:kinsoku/>
        <w:wordWrap/>
        <w:overflowPunct/>
        <w:topLinePunct w:val="0"/>
        <w:autoSpaceDE/>
        <w:autoSpaceDN/>
        <w:bidi w:val="0"/>
        <w:adjustRightInd w:val="0"/>
        <w:snapToGrid w:val="0"/>
        <w:spacing w:line="400" w:lineRule="exact"/>
        <w:ind w:firstLine="420" w:firstLineChars="200"/>
        <w:jc w:val="left"/>
        <w:textAlignment w:val="auto"/>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t>十</w:t>
      </w:r>
      <w:r>
        <w:rPr>
          <w:rFonts w:hint="eastAsia" w:ascii="仿宋" w:hAnsi="仿宋" w:eastAsia="仿宋" w:cs="仿宋"/>
          <w:color w:val="0D0D0D" w:themeColor="text1" w:themeTint="F2"/>
          <w:kern w:val="0"/>
          <w:sz w:val="21"/>
          <w:szCs w:val="21"/>
          <w:lang w:val="en-US" w:eastAsia="zh-CN"/>
          <w14:textFill>
            <w14:solidFill>
              <w14:schemeClr w14:val="tx1">
                <w14:lumMod w14:val="95000"/>
                <w14:lumOff w14:val="5000"/>
              </w14:schemeClr>
            </w14:solidFill>
          </w14:textFill>
        </w:rPr>
        <w:t>四</w:t>
      </w:r>
      <w:r>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t>、意向受让方应对其参与网络竞价的注册帐户的安全性负责，任何使用意向受让方用户名和密码登录进入网络竞价系统，在系统中的一切行为均视为意向受让方本人的行为，由意向受让方负责。</w:t>
      </w:r>
    </w:p>
    <w:p w14:paraId="1065363F">
      <w:pPr>
        <w:keepNext w:val="0"/>
        <w:keepLines w:val="0"/>
        <w:pageBreakBefore w:val="0"/>
        <w:widowControl/>
        <w:kinsoku/>
        <w:wordWrap/>
        <w:overflowPunct/>
        <w:topLinePunct w:val="0"/>
        <w:autoSpaceDE/>
        <w:autoSpaceDN/>
        <w:bidi w:val="0"/>
        <w:adjustRightInd w:val="0"/>
        <w:snapToGrid w:val="0"/>
        <w:spacing w:line="400" w:lineRule="exact"/>
        <w:ind w:firstLine="490"/>
        <w:jc w:val="left"/>
        <w:textAlignment w:val="auto"/>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t>十</w:t>
      </w:r>
      <w:r>
        <w:rPr>
          <w:rFonts w:hint="eastAsia" w:ascii="仿宋" w:hAnsi="仿宋" w:eastAsia="仿宋" w:cs="仿宋"/>
          <w:color w:val="0D0D0D" w:themeColor="text1" w:themeTint="F2"/>
          <w:kern w:val="0"/>
          <w:sz w:val="21"/>
          <w:szCs w:val="21"/>
          <w:lang w:val="en-US" w:eastAsia="zh-CN"/>
          <w14:textFill>
            <w14:solidFill>
              <w14:schemeClr w14:val="tx1">
                <w14:lumMod w14:val="95000"/>
                <w14:lumOff w14:val="5000"/>
              </w14:schemeClr>
            </w14:solidFill>
          </w14:textFill>
        </w:rPr>
        <w:t>五</w:t>
      </w:r>
      <w:r>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t>、因意向受让方如下行为产生的一切后果，</w:t>
      </w:r>
      <w:r>
        <w:rPr>
          <w:rFonts w:hint="eastAsia" w:ascii="仿宋" w:hAnsi="仿宋" w:eastAsia="仿宋" w:cs="仿宋"/>
          <w:color w:val="0D0D0D" w:themeColor="text1" w:themeTint="F2"/>
          <w:kern w:val="0"/>
          <w:sz w:val="21"/>
          <w:szCs w:val="21"/>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t>不承担任何责任：</w:t>
      </w:r>
    </w:p>
    <w:p w14:paraId="52E5BAE2">
      <w:pPr>
        <w:keepNext w:val="0"/>
        <w:keepLines w:val="0"/>
        <w:pageBreakBefore w:val="0"/>
        <w:widowControl/>
        <w:kinsoku/>
        <w:wordWrap/>
        <w:overflowPunct/>
        <w:topLinePunct w:val="0"/>
        <w:autoSpaceDE/>
        <w:autoSpaceDN/>
        <w:bidi w:val="0"/>
        <w:adjustRightInd w:val="0"/>
        <w:snapToGrid w:val="0"/>
        <w:spacing w:line="400" w:lineRule="exact"/>
        <w:ind w:firstLine="490"/>
        <w:jc w:val="left"/>
        <w:textAlignment w:val="auto"/>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t>1、未及时关注</w:t>
      </w:r>
      <w:r>
        <w:rPr>
          <w:rFonts w:hint="eastAsia" w:ascii="仿宋" w:hAnsi="仿宋" w:eastAsia="仿宋" w:cs="仿宋"/>
          <w:color w:val="0D0D0D" w:themeColor="text1" w:themeTint="F2"/>
          <w:kern w:val="0"/>
          <w:sz w:val="21"/>
          <w:szCs w:val="21"/>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t>及网络竞价系统发布的动态报价活动相关信息的；</w:t>
      </w:r>
    </w:p>
    <w:p w14:paraId="6FDE9B27">
      <w:pPr>
        <w:keepNext w:val="0"/>
        <w:keepLines w:val="0"/>
        <w:pageBreakBefore w:val="0"/>
        <w:widowControl/>
        <w:kinsoku/>
        <w:wordWrap/>
        <w:overflowPunct/>
        <w:topLinePunct w:val="0"/>
        <w:autoSpaceDE/>
        <w:autoSpaceDN/>
        <w:bidi w:val="0"/>
        <w:adjustRightInd w:val="0"/>
        <w:snapToGrid w:val="0"/>
        <w:spacing w:line="400" w:lineRule="exact"/>
        <w:ind w:firstLine="490"/>
        <w:jc w:val="left"/>
        <w:textAlignment w:val="auto"/>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t>2、由于意向受让方使用的终端设备和网络异常等原因导致无法正常报价的；</w:t>
      </w:r>
    </w:p>
    <w:p w14:paraId="0EAE2314">
      <w:pPr>
        <w:keepNext w:val="0"/>
        <w:keepLines w:val="0"/>
        <w:pageBreakBefore w:val="0"/>
        <w:widowControl/>
        <w:kinsoku/>
        <w:wordWrap/>
        <w:overflowPunct/>
        <w:topLinePunct w:val="0"/>
        <w:autoSpaceDE/>
        <w:autoSpaceDN/>
        <w:bidi w:val="0"/>
        <w:adjustRightInd w:val="0"/>
        <w:snapToGrid w:val="0"/>
        <w:spacing w:line="400" w:lineRule="exact"/>
        <w:ind w:firstLine="490"/>
        <w:jc w:val="left"/>
        <w:textAlignment w:val="auto"/>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t>3、网络竞价活动的时间以网络竞价系统服务器时间为准。由于意向受让方使用的终端设备时间与动态报价系统服务器时间不符而导致未按时参与报价的。</w:t>
      </w:r>
    </w:p>
    <w:p w14:paraId="1482408A">
      <w:pPr>
        <w:keepNext w:val="0"/>
        <w:keepLines w:val="0"/>
        <w:pageBreakBefore w:val="0"/>
        <w:widowControl/>
        <w:kinsoku/>
        <w:wordWrap/>
        <w:overflowPunct/>
        <w:topLinePunct w:val="0"/>
        <w:autoSpaceDE/>
        <w:autoSpaceDN/>
        <w:bidi w:val="0"/>
        <w:adjustRightInd w:val="0"/>
        <w:snapToGrid w:val="0"/>
        <w:spacing w:line="400" w:lineRule="exact"/>
        <w:ind w:firstLine="490"/>
        <w:jc w:val="left"/>
        <w:textAlignment w:val="auto"/>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t>十</w:t>
      </w:r>
      <w:r>
        <w:rPr>
          <w:rFonts w:hint="eastAsia" w:ascii="仿宋" w:hAnsi="仿宋" w:eastAsia="仿宋" w:cs="仿宋"/>
          <w:color w:val="0D0D0D" w:themeColor="text1" w:themeTint="F2"/>
          <w:kern w:val="0"/>
          <w:sz w:val="21"/>
          <w:szCs w:val="21"/>
          <w:lang w:val="en-US" w:eastAsia="zh-CN"/>
          <w14:textFill>
            <w14:solidFill>
              <w14:schemeClr w14:val="tx1">
                <w14:lumMod w14:val="95000"/>
                <w14:lumOff w14:val="5000"/>
              </w14:schemeClr>
            </w14:solidFill>
          </w14:textFill>
        </w:rPr>
        <w:t>六</w:t>
      </w:r>
      <w:r>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t>、网络竞价系统因不可抗力、软硬件故障、非法入侵、恶意攻击等原因而导致系统异常、竞价活动中断的，</w:t>
      </w:r>
      <w:r>
        <w:rPr>
          <w:rFonts w:hint="eastAsia" w:ascii="仿宋" w:hAnsi="仿宋" w:eastAsia="仿宋" w:cs="仿宋"/>
          <w:color w:val="0D0D0D" w:themeColor="text1" w:themeTint="F2"/>
          <w:kern w:val="0"/>
          <w:sz w:val="21"/>
          <w:szCs w:val="21"/>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t>不承担任何责任。中心将视情况组织继续报价或重新报价，并通过</w:t>
      </w:r>
      <w:r>
        <w:rPr>
          <w:rFonts w:hint="eastAsia" w:ascii="仿宋" w:hAnsi="仿宋" w:eastAsia="仿宋" w:cs="仿宋"/>
          <w:color w:val="0D0D0D" w:themeColor="text1" w:themeTint="F2"/>
          <w:kern w:val="0"/>
          <w:sz w:val="21"/>
          <w:szCs w:val="21"/>
          <w:lang w:val="en-US" w:eastAsia="zh-CN"/>
          <w14:textFill>
            <w14:solidFill>
              <w14:schemeClr w14:val="tx1">
                <w14:lumMod w14:val="95000"/>
                <w14:lumOff w14:val="5000"/>
              </w14:schemeClr>
            </w14:solidFill>
          </w14:textFill>
        </w:rPr>
        <w:t>枣庄市公共资源国有产权交易有限公司</w:t>
      </w:r>
      <w:r>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t>网站通知各意向受让方。继续报价或重新报价的方式如下：</w:t>
      </w:r>
    </w:p>
    <w:p w14:paraId="30EDA336">
      <w:pPr>
        <w:keepNext w:val="0"/>
        <w:keepLines w:val="0"/>
        <w:pageBreakBefore w:val="0"/>
        <w:widowControl/>
        <w:kinsoku/>
        <w:wordWrap/>
        <w:overflowPunct/>
        <w:topLinePunct w:val="0"/>
        <w:autoSpaceDE/>
        <w:autoSpaceDN/>
        <w:bidi w:val="0"/>
        <w:adjustRightInd w:val="0"/>
        <w:snapToGrid w:val="0"/>
        <w:spacing w:line="400" w:lineRule="exact"/>
        <w:ind w:firstLine="490"/>
        <w:jc w:val="left"/>
        <w:textAlignment w:val="auto"/>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t>报价记录可以恢复的，以中断时的最高有效报价为起始价继续报价；报价记录无法恢复的，以转让底价为起始价重新报价。</w:t>
      </w:r>
    </w:p>
    <w:p w14:paraId="3063E5D4">
      <w:pPr>
        <w:keepNext w:val="0"/>
        <w:keepLines w:val="0"/>
        <w:pageBreakBefore w:val="0"/>
        <w:widowControl/>
        <w:kinsoku/>
        <w:wordWrap/>
        <w:overflowPunct/>
        <w:topLinePunct w:val="0"/>
        <w:autoSpaceDE/>
        <w:autoSpaceDN/>
        <w:bidi w:val="0"/>
        <w:adjustRightInd w:val="0"/>
        <w:snapToGrid w:val="0"/>
        <w:spacing w:line="400" w:lineRule="exact"/>
        <w:ind w:firstLine="490"/>
        <w:jc w:val="left"/>
        <w:textAlignment w:val="auto"/>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t>十</w:t>
      </w:r>
      <w:r>
        <w:rPr>
          <w:rFonts w:hint="eastAsia" w:ascii="仿宋" w:hAnsi="仿宋" w:eastAsia="仿宋" w:cs="仿宋"/>
          <w:color w:val="0D0D0D" w:themeColor="text1" w:themeTint="F2"/>
          <w:kern w:val="0"/>
          <w:sz w:val="21"/>
          <w:szCs w:val="21"/>
          <w:lang w:val="en-US" w:eastAsia="zh-CN"/>
          <w14:textFill>
            <w14:solidFill>
              <w14:schemeClr w14:val="tx1">
                <w14:lumMod w14:val="95000"/>
                <w14:lumOff w14:val="5000"/>
              </w14:schemeClr>
            </w14:solidFill>
          </w14:textFill>
        </w:rPr>
        <w:t>七</w:t>
      </w:r>
      <w:r>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t>、本《资产受让网络竞价须知》传真件、扫描件与原件具有同等法律效力。</w:t>
      </w:r>
    </w:p>
    <w:p w14:paraId="2E4DEA8D">
      <w:pPr>
        <w:keepNext w:val="0"/>
        <w:keepLines w:val="0"/>
        <w:pageBreakBefore w:val="0"/>
        <w:widowControl/>
        <w:kinsoku/>
        <w:wordWrap/>
        <w:overflowPunct/>
        <w:topLinePunct w:val="0"/>
        <w:autoSpaceDE/>
        <w:autoSpaceDN/>
        <w:bidi w:val="0"/>
        <w:adjustRightInd w:val="0"/>
        <w:snapToGrid w:val="0"/>
        <w:spacing w:line="400" w:lineRule="exact"/>
        <w:ind w:firstLine="490"/>
        <w:jc w:val="left"/>
        <w:textAlignment w:val="auto"/>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pPr>
    </w:p>
    <w:p w14:paraId="52D244B9">
      <w:pPr>
        <w:keepNext w:val="0"/>
        <w:keepLines w:val="0"/>
        <w:pageBreakBefore w:val="0"/>
        <w:widowControl/>
        <w:kinsoku/>
        <w:wordWrap/>
        <w:overflowPunct/>
        <w:topLinePunct w:val="0"/>
        <w:autoSpaceDE/>
        <w:autoSpaceDN/>
        <w:bidi w:val="0"/>
        <w:adjustRightInd w:val="0"/>
        <w:snapToGrid w:val="0"/>
        <w:spacing w:line="400" w:lineRule="exact"/>
        <w:ind w:firstLine="490"/>
        <w:jc w:val="left"/>
        <w:textAlignment w:val="auto"/>
        <w:rPr>
          <w:rFonts w:hint="eastAsia" w:ascii="仿宋" w:hAnsi="仿宋" w:eastAsia="仿宋" w:cs="仿宋"/>
          <w:color w:val="4472C4" w:themeColor="accent5"/>
          <w:kern w:val="0"/>
          <w:sz w:val="21"/>
          <w:szCs w:val="21"/>
          <w:lang w:val="en-US" w:eastAsia="zh-CN"/>
          <w14:textFill>
            <w14:solidFill>
              <w14:schemeClr w14:val="accent5"/>
            </w14:solidFill>
          </w14:textFill>
        </w:rPr>
      </w:pPr>
      <w:r>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t xml:space="preserve">     承诺方：         </w:t>
      </w:r>
      <w:r>
        <w:rPr>
          <w:rFonts w:hint="eastAsia" w:ascii="仿宋" w:hAnsi="仿宋" w:eastAsia="仿宋" w:cs="仿宋"/>
          <w:color w:val="0D0D0D" w:themeColor="text1" w:themeTint="F2"/>
          <w:kern w:val="0"/>
          <w:sz w:val="21"/>
          <w:szCs w:val="21"/>
          <w:lang w:val="en-US" w:eastAsia="zh-CN"/>
          <w14:textFill>
            <w14:solidFill>
              <w14:schemeClr w14:val="tx1">
                <w14:lumMod w14:val="95000"/>
                <w14:lumOff w14:val="5000"/>
              </w14:schemeClr>
            </w14:solidFill>
          </w14:textFill>
        </w:rPr>
        <w:t xml:space="preserve">         </w:t>
      </w:r>
      <w:r>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t xml:space="preserve">    手 机：</w:t>
      </w:r>
      <w:r>
        <w:rPr>
          <w:rFonts w:hint="eastAsia" w:ascii="仿宋" w:hAnsi="仿宋" w:eastAsia="仿宋" w:cs="仿宋"/>
          <w:color w:val="0D0D0D" w:themeColor="text1" w:themeTint="F2"/>
          <w:kern w:val="0"/>
          <w:sz w:val="21"/>
          <w:szCs w:val="21"/>
          <w:lang w:val="en-US" w:eastAsia="zh-CN"/>
          <w14:textFill>
            <w14:solidFill>
              <w14:schemeClr w14:val="tx1">
                <w14:lumMod w14:val="95000"/>
                <w14:lumOff w14:val="5000"/>
              </w14:schemeClr>
            </w14:solidFill>
          </w14:textFill>
        </w:rPr>
        <w:t xml:space="preserve">        </w:t>
      </w:r>
    </w:p>
    <w:p w14:paraId="07ACBFD1">
      <w:pPr>
        <w:keepNext w:val="0"/>
        <w:keepLines w:val="0"/>
        <w:pageBreakBefore w:val="0"/>
        <w:widowControl/>
        <w:kinsoku/>
        <w:wordWrap/>
        <w:overflowPunct/>
        <w:topLinePunct w:val="0"/>
        <w:autoSpaceDE/>
        <w:autoSpaceDN/>
        <w:bidi w:val="0"/>
        <w:snapToGrid w:val="0"/>
        <w:spacing w:line="400" w:lineRule="exact"/>
        <w:jc w:val="left"/>
        <w:textAlignment w:val="auto"/>
        <w:rPr>
          <w:rFonts w:hint="eastAsia" w:ascii="仿宋" w:hAnsi="仿宋" w:eastAsia="仿宋" w:cs="仿宋"/>
          <w:color w:val="4472C4" w:themeColor="accent5"/>
          <w:kern w:val="0"/>
          <w:sz w:val="21"/>
          <w:szCs w:val="21"/>
          <w:lang w:val="en-US" w:eastAsia="zh-CN"/>
          <w14:textFill>
            <w14:solidFill>
              <w14:schemeClr w14:val="accent5"/>
            </w14:solidFill>
          </w14:textFill>
        </w:rPr>
      </w:pPr>
    </w:p>
    <w:p w14:paraId="30CDD3F8">
      <w:pPr>
        <w:keepNext w:val="0"/>
        <w:keepLines w:val="0"/>
        <w:pageBreakBefore w:val="0"/>
        <w:kinsoku/>
        <w:wordWrap/>
        <w:overflowPunct/>
        <w:topLinePunct w:val="0"/>
        <w:autoSpaceDE/>
        <w:autoSpaceDN/>
        <w:bidi w:val="0"/>
        <w:spacing w:line="440" w:lineRule="exact"/>
        <w:jc w:val="both"/>
        <w:rPr>
          <w:rFonts w:hint="eastAsia"/>
          <w:b/>
          <w:sz w:val="32"/>
          <w:szCs w:val="32"/>
        </w:rPr>
      </w:pPr>
    </w:p>
    <w:p w14:paraId="17F1CBD1">
      <w:pPr>
        <w:keepNext w:val="0"/>
        <w:keepLines w:val="0"/>
        <w:pageBreakBefore w:val="0"/>
        <w:widowControl/>
        <w:kinsoku/>
        <w:wordWrap/>
        <w:overflowPunct/>
        <w:topLinePunct w:val="0"/>
        <w:autoSpaceDE/>
        <w:autoSpaceDN/>
        <w:bidi w:val="0"/>
        <w:adjustRightInd w:val="0"/>
        <w:snapToGrid w:val="0"/>
        <w:spacing w:line="400" w:lineRule="exact"/>
        <w:ind w:firstLine="5250" w:firstLineChars="2500"/>
        <w:jc w:val="both"/>
        <w:textAlignment w:val="auto"/>
        <w:rPr>
          <w:rFonts w:hint="eastAsia" w:ascii="仿宋" w:hAnsi="仿宋" w:eastAsia="仿宋" w:cs="仿宋"/>
          <w:color w:val="0D0D0D" w:themeColor="text1" w:themeTint="F2"/>
          <w:kern w:val="0"/>
          <w:sz w:val="21"/>
          <w:szCs w:val="21"/>
          <w:lang w:val="en-US" w:eastAsia="zh-CN"/>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1"/>
          <w:szCs w:val="21"/>
          <w:lang w:val="en-US" w:eastAsia="zh-CN"/>
          <w14:textFill>
            <w14:solidFill>
              <w14:schemeClr w14:val="tx1">
                <w14:lumMod w14:val="95000"/>
                <w14:lumOff w14:val="5000"/>
              </w14:schemeClr>
            </w14:solidFill>
          </w14:textFill>
        </w:rPr>
        <w:t xml:space="preserve">  年   月    日</w:t>
      </w:r>
    </w:p>
    <w:p w14:paraId="36D0E374">
      <w:pPr>
        <w:keepNext w:val="0"/>
        <w:keepLines w:val="0"/>
        <w:pageBreakBefore w:val="0"/>
        <w:kinsoku/>
        <w:wordWrap/>
        <w:overflowPunct/>
        <w:topLinePunct w:val="0"/>
        <w:autoSpaceDE/>
        <w:autoSpaceDN/>
        <w:bidi w:val="0"/>
        <w:spacing w:line="440" w:lineRule="exact"/>
        <w:jc w:val="center"/>
        <w:rPr>
          <w:rFonts w:hint="eastAsia"/>
          <w:b/>
          <w:sz w:val="32"/>
          <w:szCs w:val="32"/>
        </w:rPr>
      </w:pPr>
    </w:p>
    <w:p w14:paraId="2FE420BF">
      <w:pPr>
        <w:keepNext w:val="0"/>
        <w:keepLines w:val="0"/>
        <w:pageBreakBefore w:val="0"/>
        <w:kinsoku/>
        <w:wordWrap/>
        <w:overflowPunct/>
        <w:topLinePunct w:val="0"/>
        <w:autoSpaceDE/>
        <w:autoSpaceDN/>
        <w:bidi w:val="0"/>
        <w:spacing w:line="440" w:lineRule="exact"/>
        <w:jc w:val="center"/>
        <w:rPr>
          <w:rFonts w:hint="eastAsia"/>
          <w:b/>
          <w:sz w:val="32"/>
          <w:szCs w:val="32"/>
        </w:rPr>
      </w:pPr>
    </w:p>
    <w:p w14:paraId="4EEF180F">
      <w:pPr>
        <w:keepNext w:val="0"/>
        <w:keepLines w:val="0"/>
        <w:pageBreakBefore w:val="0"/>
        <w:kinsoku/>
        <w:wordWrap/>
        <w:overflowPunct/>
        <w:topLinePunct w:val="0"/>
        <w:autoSpaceDE/>
        <w:autoSpaceDN/>
        <w:bidi w:val="0"/>
        <w:spacing w:line="440" w:lineRule="exact"/>
        <w:jc w:val="center"/>
        <w:rPr>
          <w:rFonts w:hint="eastAsia"/>
          <w:b/>
          <w:sz w:val="32"/>
          <w:szCs w:val="32"/>
        </w:rPr>
      </w:pPr>
    </w:p>
    <w:p w14:paraId="5FE34CE0">
      <w:pPr>
        <w:keepNext w:val="0"/>
        <w:keepLines w:val="0"/>
        <w:pageBreakBefore w:val="0"/>
        <w:kinsoku/>
        <w:wordWrap/>
        <w:overflowPunct/>
        <w:topLinePunct w:val="0"/>
        <w:autoSpaceDE/>
        <w:autoSpaceDN/>
        <w:bidi w:val="0"/>
        <w:spacing w:line="440" w:lineRule="exact"/>
        <w:jc w:val="center"/>
        <w:rPr>
          <w:rFonts w:hint="eastAsia"/>
          <w:b/>
          <w:sz w:val="32"/>
          <w:szCs w:val="32"/>
        </w:rPr>
      </w:pPr>
    </w:p>
    <w:p w14:paraId="4751A991">
      <w:pPr>
        <w:keepNext w:val="0"/>
        <w:keepLines w:val="0"/>
        <w:pageBreakBefore w:val="0"/>
        <w:kinsoku/>
        <w:wordWrap/>
        <w:overflowPunct/>
        <w:topLinePunct w:val="0"/>
        <w:autoSpaceDE/>
        <w:autoSpaceDN/>
        <w:bidi w:val="0"/>
        <w:spacing w:line="440" w:lineRule="exact"/>
        <w:jc w:val="center"/>
        <w:rPr>
          <w:rFonts w:hint="eastAsia" w:ascii="宋体" w:hAnsi="宋体"/>
          <w:sz w:val="32"/>
          <w:szCs w:val="32"/>
        </w:rPr>
      </w:pPr>
      <w:bookmarkStart w:id="1" w:name="_GoBack"/>
      <w:bookmarkEnd w:id="1"/>
      <w:r>
        <w:rPr>
          <w:rFonts w:hint="eastAsia"/>
          <w:b/>
          <w:sz w:val="32"/>
          <w:szCs w:val="32"/>
        </w:rPr>
        <w:t>现场踏勘</w:t>
      </w:r>
      <w:r>
        <w:rPr>
          <w:b/>
          <w:sz w:val="32"/>
          <w:szCs w:val="32"/>
        </w:rPr>
        <w:t>确认书</w:t>
      </w:r>
    </w:p>
    <w:p w14:paraId="319AE9F5">
      <w:pPr>
        <w:keepNext w:val="0"/>
        <w:keepLines w:val="0"/>
        <w:pageBreakBefore w:val="0"/>
        <w:kinsoku/>
        <w:wordWrap/>
        <w:overflowPunct/>
        <w:topLinePunct w:val="0"/>
        <w:autoSpaceDE/>
        <w:autoSpaceDN/>
        <w:bidi w:val="0"/>
        <w:spacing w:line="440" w:lineRule="exact"/>
        <w:rPr>
          <w:rFonts w:hint="eastAsia" w:ascii="宋体" w:hAnsi="宋体"/>
          <w:bCs/>
          <w:sz w:val="21"/>
          <w:szCs w:val="18"/>
          <w:lang w:val="en-US" w:eastAsia="zh-CN"/>
        </w:rPr>
      </w:pPr>
      <w:r>
        <w:rPr>
          <w:rFonts w:hint="eastAsia" w:ascii="宋体" w:hAnsi="宋体"/>
          <w:bCs/>
          <w:sz w:val="21"/>
          <w:szCs w:val="18"/>
        </w:rPr>
        <w:t>京沪高铁枣庄站站前服务中心</w:t>
      </w:r>
      <w:r>
        <w:rPr>
          <w:rFonts w:hint="eastAsia" w:ascii="宋体" w:hAnsi="宋体"/>
          <w:bCs/>
          <w:sz w:val="21"/>
          <w:szCs w:val="18"/>
          <w:lang w:val="en-US" w:eastAsia="zh-CN"/>
        </w:rPr>
        <w:t>：</w:t>
      </w:r>
    </w:p>
    <w:p w14:paraId="43EEDD0C">
      <w:pPr>
        <w:keepNext w:val="0"/>
        <w:keepLines w:val="0"/>
        <w:pageBreakBefore w:val="0"/>
        <w:kinsoku/>
        <w:wordWrap/>
        <w:overflowPunct/>
        <w:topLinePunct w:val="0"/>
        <w:autoSpaceDE/>
        <w:autoSpaceDN/>
        <w:bidi w:val="0"/>
        <w:spacing w:line="440" w:lineRule="exact"/>
        <w:rPr>
          <w:rFonts w:hint="eastAsia" w:ascii="宋体" w:hAnsi="宋体"/>
          <w:bCs/>
          <w:sz w:val="21"/>
          <w:szCs w:val="18"/>
          <w:lang w:val="en-US" w:eastAsia="zh-CN"/>
        </w:rPr>
      </w:pPr>
      <w:r>
        <w:rPr>
          <w:rFonts w:hint="eastAsia" w:ascii="宋体" w:hAnsi="宋体"/>
          <w:bCs/>
          <w:sz w:val="21"/>
          <w:szCs w:val="18"/>
          <w:lang w:val="en-US" w:eastAsia="zh-CN"/>
        </w:rPr>
        <w:t>枣庄市公共资源国有产权交易有限公司：</w:t>
      </w:r>
    </w:p>
    <w:p w14:paraId="0D614285">
      <w:pPr>
        <w:keepNext w:val="0"/>
        <w:keepLines w:val="0"/>
        <w:pageBreakBefore w:val="0"/>
        <w:kinsoku/>
        <w:wordWrap/>
        <w:overflowPunct/>
        <w:topLinePunct w:val="0"/>
        <w:autoSpaceDE/>
        <w:autoSpaceDN/>
        <w:bidi w:val="0"/>
        <w:spacing w:line="440" w:lineRule="exact"/>
        <w:ind w:firstLine="420" w:firstLineChars="200"/>
        <w:rPr>
          <w:rFonts w:hint="eastAsia" w:ascii="宋体" w:hAnsi="宋体"/>
          <w:bCs/>
          <w:sz w:val="21"/>
          <w:szCs w:val="18"/>
        </w:rPr>
      </w:pPr>
      <w:r>
        <w:rPr>
          <w:rFonts w:hint="eastAsia" w:ascii="宋体" w:hAnsi="宋体"/>
          <w:bCs/>
          <w:sz w:val="21"/>
          <w:szCs w:val="18"/>
          <w:lang w:val="en-US" w:eastAsia="zh-CN"/>
        </w:rPr>
        <w:t>就</w:t>
      </w:r>
      <w:r>
        <w:rPr>
          <w:rFonts w:hint="eastAsia" w:ascii="宋体" w:hAnsi="宋体"/>
          <w:bCs/>
          <w:sz w:val="21"/>
          <w:szCs w:val="18"/>
        </w:rPr>
        <w:t>京沪高铁枣庄站站前服务中心所属报废固定资产处置</w:t>
      </w:r>
      <w:r>
        <w:rPr>
          <w:rFonts w:hint="eastAsia" w:ascii="宋体" w:hAnsi="宋体"/>
          <w:bCs/>
          <w:sz w:val="21"/>
          <w:szCs w:val="18"/>
        </w:rPr>
        <w:t>转让一事，本公司（本人）已前往现场进行实地勘察。</w:t>
      </w:r>
    </w:p>
    <w:p w14:paraId="521BB7E6">
      <w:pPr>
        <w:keepNext w:val="0"/>
        <w:keepLines w:val="0"/>
        <w:pageBreakBefore w:val="0"/>
        <w:kinsoku/>
        <w:wordWrap/>
        <w:overflowPunct/>
        <w:topLinePunct w:val="0"/>
        <w:autoSpaceDE/>
        <w:autoSpaceDN/>
        <w:bidi w:val="0"/>
        <w:spacing w:line="440" w:lineRule="exact"/>
        <w:ind w:firstLine="420" w:firstLineChars="200"/>
        <w:rPr>
          <w:rFonts w:hint="eastAsia" w:ascii="宋体" w:hAnsi="宋体"/>
          <w:bCs/>
          <w:sz w:val="21"/>
          <w:szCs w:val="18"/>
        </w:rPr>
      </w:pPr>
      <w:r>
        <w:rPr>
          <w:rFonts w:hint="eastAsia" w:ascii="宋体" w:hAnsi="宋体"/>
          <w:bCs/>
          <w:sz w:val="21"/>
          <w:szCs w:val="18"/>
        </w:rPr>
        <w:t>经勘察，本公司（本人）确认如下：</w:t>
      </w:r>
    </w:p>
    <w:p w14:paraId="6406D9DF">
      <w:pPr>
        <w:keepNext w:val="0"/>
        <w:keepLines w:val="0"/>
        <w:pageBreakBefore w:val="0"/>
        <w:kinsoku/>
        <w:wordWrap/>
        <w:overflowPunct/>
        <w:topLinePunct w:val="0"/>
        <w:autoSpaceDE/>
        <w:autoSpaceDN/>
        <w:bidi w:val="0"/>
        <w:spacing w:line="440" w:lineRule="exact"/>
        <w:ind w:firstLine="420" w:firstLineChars="200"/>
        <w:rPr>
          <w:rFonts w:hint="eastAsia" w:ascii="宋体" w:hAnsi="宋体"/>
          <w:bCs/>
          <w:sz w:val="21"/>
          <w:szCs w:val="18"/>
        </w:rPr>
      </w:pPr>
      <w:r>
        <w:rPr>
          <w:rFonts w:hint="eastAsia" w:ascii="宋体" w:hAnsi="宋体"/>
          <w:bCs/>
          <w:sz w:val="21"/>
          <w:szCs w:val="18"/>
        </w:rPr>
        <w:t>一、本公司（本人）对本次资产实际转让范围和内容及相对应的实物已进行了核对且并确认无误；对所有转让标的的范围、现状、瑕疵、地理位置以及周边环境等各种情况均已经充分了解。</w:t>
      </w:r>
    </w:p>
    <w:p w14:paraId="77DA8129">
      <w:pPr>
        <w:keepNext w:val="0"/>
        <w:keepLines w:val="0"/>
        <w:pageBreakBefore w:val="0"/>
        <w:kinsoku/>
        <w:wordWrap/>
        <w:overflowPunct/>
        <w:topLinePunct w:val="0"/>
        <w:autoSpaceDE/>
        <w:autoSpaceDN/>
        <w:bidi w:val="0"/>
        <w:spacing w:line="440" w:lineRule="exact"/>
        <w:ind w:firstLine="420" w:firstLineChars="200"/>
        <w:rPr>
          <w:rFonts w:hint="eastAsia" w:ascii="宋体" w:hAnsi="宋体"/>
          <w:bCs/>
          <w:sz w:val="21"/>
          <w:szCs w:val="18"/>
        </w:rPr>
      </w:pPr>
      <w:r>
        <w:rPr>
          <w:rFonts w:hint="eastAsia" w:ascii="宋体" w:hAnsi="宋体"/>
          <w:bCs/>
          <w:sz w:val="21"/>
          <w:szCs w:val="18"/>
        </w:rPr>
        <w:t>二、本公司（本人）确认转让方已充分履行了告知义务。完全认可标的资产实际转让范围和内容及相对应的实物等各方面的状况，自愿接受转让标的全部现状及瑕疵，并愿承担一切责任与风险。</w:t>
      </w:r>
    </w:p>
    <w:p w14:paraId="28C2B478">
      <w:pPr>
        <w:keepNext w:val="0"/>
        <w:keepLines w:val="0"/>
        <w:pageBreakBefore w:val="0"/>
        <w:kinsoku/>
        <w:wordWrap/>
        <w:overflowPunct/>
        <w:topLinePunct w:val="0"/>
        <w:autoSpaceDE/>
        <w:autoSpaceDN/>
        <w:bidi w:val="0"/>
        <w:spacing w:line="440" w:lineRule="exact"/>
        <w:rPr>
          <w:rFonts w:hint="eastAsia" w:ascii="宋体" w:hAnsi="宋体"/>
          <w:bCs/>
          <w:sz w:val="21"/>
          <w:szCs w:val="18"/>
        </w:rPr>
      </w:pPr>
    </w:p>
    <w:p w14:paraId="0DB79BB0">
      <w:pPr>
        <w:keepNext w:val="0"/>
        <w:keepLines w:val="0"/>
        <w:pageBreakBefore w:val="0"/>
        <w:kinsoku/>
        <w:wordWrap/>
        <w:overflowPunct/>
        <w:topLinePunct w:val="0"/>
        <w:autoSpaceDE/>
        <w:autoSpaceDN/>
        <w:bidi w:val="0"/>
        <w:spacing w:line="440" w:lineRule="exact"/>
        <w:rPr>
          <w:rFonts w:hint="eastAsia" w:ascii="宋体" w:hAnsi="宋体"/>
          <w:bCs/>
          <w:sz w:val="21"/>
          <w:szCs w:val="18"/>
        </w:rPr>
      </w:pPr>
    </w:p>
    <w:p w14:paraId="3C186142">
      <w:pPr>
        <w:keepNext w:val="0"/>
        <w:keepLines w:val="0"/>
        <w:pageBreakBefore w:val="0"/>
        <w:kinsoku/>
        <w:wordWrap/>
        <w:overflowPunct/>
        <w:topLinePunct w:val="0"/>
        <w:autoSpaceDE/>
        <w:autoSpaceDN/>
        <w:bidi w:val="0"/>
        <w:spacing w:line="440" w:lineRule="exact"/>
        <w:ind w:firstLine="2730" w:firstLineChars="1300"/>
        <w:rPr>
          <w:rFonts w:hint="eastAsia" w:ascii="宋体" w:hAnsi="宋体"/>
          <w:bCs/>
          <w:sz w:val="21"/>
          <w:szCs w:val="18"/>
        </w:rPr>
      </w:pPr>
      <w:r>
        <w:rPr>
          <w:rFonts w:hint="eastAsia" w:ascii="宋体" w:hAnsi="宋体"/>
          <w:bCs/>
          <w:sz w:val="21"/>
          <w:szCs w:val="18"/>
        </w:rPr>
        <w:t xml:space="preserve">意向受让方（踏勘人）：                </w:t>
      </w:r>
    </w:p>
    <w:p w14:paraId="17C2DC56">
      <w:pPr>
        <w:keepNext w:val="0"/>
        <w:keepLines w:val="0"/>
        <w:pageBreakBefore w:val="0"/>
        <w:kinsoku/>
        <w:wordWrap/>
        <w:overflowPunct/>
        <w:topLinePunct w:val="0"/>
        <w:autoSpaceDE/>
        <w:autoSpaceDN/>
        <w:bidi w:val="0"/>
        <w:spacing w:line="440" w:lineRule="exact"/>
        <w:ind w:firstLine="1890" w:firstLineChars="900"/>
        <w:rPr>
          <w:rFonts w:hint="eastAsia" w:ascii="宋体" w:hAnsi="宋体"/>
          <w:bCs/>
          <w:sz w:val="21"/>
          <w:szCs w:val="18"/>
        </w:rPr>
      </w:pPr>
      <w:r>
        <w:rPr>
          <w:rFonts w:hint="eastAsia" w:ascii="宋体" w:hAnsi="宋体"/>
          <w:bCs/>
          <w:sz w:val="21"/>
          <w:szCs w:val="18"/>
        </w:rPr>
        <w:t xml:space="preserve">    </w:t>
      </w:r>
    </w:p>
    <w:p w14:paraId="0010FC18">
      <w:pPr>
        <w:pStyle w:val="13"/>
        <w:keepNext w:val="0"/>
        <w:keepLines w:val="0"/>
        <w:pageBreakBefore w:val="0"/>
        <w:kinsoku/>
        <w:wordWrap/>
        <w:overflowPunct/>
        <w:topLinePunct w:val="0"/>
        <w:autoSpaceDE/>
        <w:autoSpaceDN/>
        <w:bidi w:val="0"/>
        <w:spacing w:line="440" w:lineRule="exact"/>
        <w:rPr>
          <w:rFonts w:hint="eastAsia" w:ascii="宋体" w:hAnsi="宋体" w:eastAsiaTheme="minorEastAsia" w:cstheme="minorBidi"/>
          <w:bCs/>
          <w:kern w:val="2"/>
          <w:sz w:val="21"/>
          <w:szCs w:val="18"/>
          <w:lang w:val="en-US" w:eastAsia="zh-CN" w:bidi="ar-SA"/>
        </w:rPr>
      </w:pPr>
      <w:r>
        <w:rPr>
          <w:rFonts w:hint="eastAsia" w:ascii="宋体" w:hAnsi="宋体"/>
          <w:bCs/>
          <w:sz w:val="21"/>
          <w:szCs w:val="13"/>
        </w:rPr>
        <w:t xml:space="preserve">                      </w:t>
      </w:r>
      <w:r>
        <w:rPr>
          <w:rFonts w:ascii="宋体" w:hAnsi="宋体"/>
          <w:bCs/>
          <w:sz w:val="21"/>
          <w:szCs w:val="13"/>
        </w:rPr>
        <w:t xml:space="preserve">  </w:t>
      </w:r>
      <w:r>
        <w:rPr>
          <w:rFonts w:hint="eastAsia" w:ascii="宋体" w:hAnsi="宋体"/>
          <w:bCs/>
          <w:sz w:val="21"/>
          <w:szCs w:val="13"/>
          <w:lang w:val="en-US" w:eastAsia="zh-CN"/>
        </w:rPr>
        <w:t xml:space="preserve">           </w:t>
      </w:r>
      <w:r>
        <w:rPr>
          <w:rFonts w:hint="eastAsia" w:ascii="宋体" w:hAnsi="宋体" w:eastAsiaTheme="minorEastAsia" w:cstheme="minorBidi"/>
          <w:bCs/>
          <w:kern w:val="2"/>
          <w:sz w:val="21"/>
          <w:szCs w:val="18"/>
          <w:lang w:val="en-US" w:eastAsia="zh-CN" w:bidi="ar-SA"/>
        </w:rPr>
        <w:t xml:space="preserve">   年    月  </w:t>
      </w:r>
      <w:r>
        <w:rPr>
          <w:rFonts w:hint="eastAsia" w:ascii="宋体" w:hAnsi="宋体" w:cstheme="minorBidi"/>
          <w:bCs/>
          <w:kern w:val="2"/>
          <w:sz w:val="21"/>
          <w:szCs w:val="18"/>
          <w:lang w:val="en-US" w:eastAsia="zh-CN" w:bidi="ar-SA"/>
        </w:rPr>
        <w:t xml:space="preserve"> </w:t>
      </w:r>
      <w:r>
        <w:rPr>
          <w:rFonts w:hint="eastAsia" w:ascii="宋体" w:hAnsi="宋体" w:eastAsiaTheme="minorEastAsia" w:cstheme="minorBidi"/>
          <w:bCs/>
          <w:kern w:val="2"/>
          <w:sz w:val="21"/>
          <w:szCs w:val="18"/>
          <w:lang w:val="en-US" w:eastAsia="zh-CN" w:bidi="ar-SA"/>
        </w:rPr>
        <w:t xml:space="preserve"> 日</w:t>
      </w:r>
    </w:p>
    <w:p w14:paraId="2B5F258F">
      <w:pPr>
        <w:pStyle w:val="13"/>
        <w:keepNext w:val="0"/>
        <w:keepLines w:val="0"/>
        <w:pageBreakBefore w:val="0"/>
        <w:kinsoku/>
        <w:wordWrap/>
        <w:overflowPunct/>
        <w:topLinePunct w:val="0"/>
        <w:autoSpaceDE/>
        <w:autoSpaceDN/>
        <w:bidi w:val="0"/>
        <w:spacing w:line="440" w:lineRule="exact"/>
        <w:rPr>
          <w:rFonts w:hint="eastAsia" w:ascii="宋体" w:hAnsi="宋体" w:eastAsiaTheme="minorEastAsia" w:cstheme="minorBidi"/>
          <w:bCs/>
          <w:kern w:val="2"/>
          <w:sz w:val="21"/>
          <w:szCs w:val="18"/>
          <w:lang w:val="en-US" w:eastAsia="zh-CN" w:bidi="ar-SA"/>
        </w:rPr>
      </w:pPr>
    </w:p>
    <w:p w14:paraId="043618D0">
      <w:pPr>
        <w:pStyle w:val="13"/>
        <w:keepNext w:val="0"/>
        <w:keepLines w:val="0"/>
        <w:pageBreakBefore w:val="0"/>
        <w:kinsoku/>
        <w:wordWrap/>
        <w:overflowPunct/>
        <w:topLinePunct w:val="0"/>
        <w:autoSpaceDE/>
        <w:autoSpaceDN/>
        <w:bidi w:val="0"/>
        <w:spacing w:line="440" w:lineRule="exact"/>
        <w:rPr>
          <w:rFonts w:hint="eastAsia" w:ascii="宋体" w:hAnsi="宋体" w:eastAsiaTheme="minorEastAsia" w:cstheme="minorBidi"/>
          <w:bCs/>
          <w:kern w:val="2"/>
          <w:sz w:val="21"/>
          <w:szCs w:val="18"/>
          <w:lang w:val="en-US" w:eastAsia="zh-CN" w:bidi="ar-SA"/>
        </w:rPr>
      </w:pPr>
    </w:p>
    <w:p w14:paraId="429E47E9">
      <w:pPr>
        <w:pStyle w:val="13"/>
        <w:keepNext w:val="0"/>
        <w:keepLines w:val="0"/>
        <w:pageBreakBefore w:val="0"/>
        <w:kinsoku/>
        <w:wordWrap/>
        <w:overflowPunct/>
        <w:topLinePunct w:val="0"/>
        <w:autoSpaceDE/>
        <w:autoSpaceDN/>
        <w:bidi w:val="0"/>
        <w:spacing w:line="440" w:lineRule="exact"/>
        <w:rPr>
          <w:rFonts w:hint="eastAsia" w:ascii="宋体" w:hAnsi="宋体" w:eastAsiaTheme="minorEastAsia" w:cstheme="minorBidi"/>
          <w:bCs/>
          <w:kern w:val="2"/>
          <w:sz w:val="21"/>
          <w:szCs w:val="18"/>
          <w:lang w:val="en-US" w:eastAsia="zh-CN" w:bidi="ar-SA"/>
        </w:rPr>
      </w:pPr>
    </w:p>
    <w:p w14:paraId="253451B2">
      <w:pPr>
        <w:pStyle w:val="13"/>
        <w:keepNext w:val="0"/>
        <w:keepLines w:val="0"/>
        <w:pageBreakBefore w:val="0"/>
        <w:kinsoku/>
        <w:wordWrap/>
        <w:overflowPunct/>
        <w:topLinePunct w:val="0"/>
        <w:autoSpaceDE/>
        <w:autoSpaceDN/>
        <w:bidi w:val="0"/>
        <w:spacing w:line="440" w:lineRule="exact"/>
        <w:rPr>
          <w:rFonts w:hint="eastAsia" w:ascii="宋体" w:hAnsi="宋体" w:eastAsiaTheme="minorEastAsia" w:cstheme="minorBidi"/>
          <w:bCs/>
          <w:kern w:val="2"/>
          <w:sz w:val="21"/>
          <w:szCs w:val="18"/>
          <w:lang w:val="en-US" w:eastAsia="zh-CN" w:bidi="ar-SA"/>
        </w:rPr>
      </w:pPr>
    </w:p>
    <w:p w14:paraId="3B3B4344">
      <w:pPr>
        <w:keepNext w:val="0"/>
        <w:keepLines w:val="0"/>
        <w:pageBreakBefore w:val="0"/>
        <w:kinsoku/>
        <w:wordWrap/>
        <w:overflowPunct/>
        <w:topLinePunct w:val="0"/>
        <w:autoSpaceDE/>
        <w:autoSpaceDN/>
        <w:bidi w:val="0"/>
        <w:snapToGrid w:val="0"/>
        <w:spacing w:line="440" w:lineRule="exact"/>
        <w:jc w:val="both"/>
        <w:rPr>
          <w:rStyle w:val="15"/>
          <w:rFonts w:hint="eastAsia" w:ascii="黑体" w:hAnsi="黑体" w:eastAsia="黑体" w:cs="黑体"/>
          <w:b/>
          <w:bCs/>
          <w:sz w:val="40"/>
          <w:szCs w:val="40"/>
        </w:rPr>
      </w:pPr>
    </w:p>
    <w:p w14:paraId="1F24E4B8">
      <w:pPr>
        <w:keepNext w:val="0"/>
        <w:keepLines w:val="0"/>
        <w:pageBreakBefore w:val="0"/>
        <w:kinsoku/>
        <w:wordWrap/>
        <w:overflowPunct/>
        <w:topLinePunct w:val="0"/>
        <w:autoSpaceDE/>
        <w:autoSpaceDN/>
        <w:bidi w:val="0"/>
        <w:snapToGrid w:val="0"/>
        <w:spacing w:line="440" w:lineRule="exact"/>
        <w:jc w:val="both"/>
        <w:rPr>
          <w:rStyle w:val="15"/>
          <w:rFonts w:hint="eastAsia" w:ascii="黑体" w:hAnsi="黑体" w:eastAsia="黑体" w:cs="黑体"/>
          <w:b/>
          <w:bCs/>
          <w:sz w:val="40"/>
          <w:szCs w:val="40"/>
        </w:rPr>
      </w:pPr>
    </w:p>
    <w:p w14:paraId="52064D1B">
      <w:pPr>
        <w:keepNext w:val="0"/>
        <w:keepLines w:val="0"/>
        <w:pageBreakBefore w:val="0"/>
        <w:kinsoku/>
        <w:wordWrap/>
        <w:overflowPunct/>
        <w:topLinePunct w:val="0"/>
        <w:autoSpaceDE/>
        <w:autoSpaceDN/>
        <w:bidi w:val="0"/>
        <w:snapToGrid w:val="0"/>
        <w:spacing w:line="440" w:lineRule="exact"/>
        <w:jc w:val="both"/>
        <w:rPr>
          <w:rStyle w:val="15"/>
          <w:rFonts w:hint="eastAsia" w:ascii="黑体" w:hAnsi="黑体" w:eastAsia="黑体" w:cs="黑体"/>
          <w:b/>
          <w:bCs/>
          <w:sz w:val="40"/>
          <w:szCs w:val="40"/>
        </w:rPr>
      </w:pPr>
    </w:p>
    <w:p w14:paraId="6F229C5C">
      <w:pPr>
        <w:keepNext w:val="0"/>
        <w:keepLines w:val="0"/>
        <w:pageBreakBefore w:val="0"/>
        <w:kinsoku/>
        <w:wordWrap/>
        <w:overflowPunct/>
        <w:topLinePunct w:val="0"/>
        <w:autoSpaceDE/>
        <w:autoSpaceDN/>
        <w:bidi w:val="0"/>
        <w:snapToGrid w:val="0"/>
        <w:spacing w:line="440" w:lineRule="exact"/>
        <w:jc w:val="both"/>
        <w:rPr>
          <w:rStyle w:val="15"/>
          <w:rFonts w:hint="eastAsia" w:ascii="黑体" w:hAnsi="黑体" w:eastAsia="黑体" w:cs="黑体"/>
          <w:b/>
          <w:bCs/>
          <w:sz w:val="40"/>
          <w:szCs w:val="40"/>
        </w:rPr>
      </w:pPr>
    </w:p>
    <w:p w14:paraId="04EB5AE9">
      <w:pPr>
        <w:keepNext w:val="0"/>
        <w:keepLines w:val="0"/>
        <w:pageBreakBefore w:val="0"/>
        <w:kinsoku/>
        <w:wordWrap/>
        <w:overflowPunct/>
        <w:topLinePunct w:val="0"/>
        <w:autoSpaceDE/>
        <w:autoSpaceDN/>
        <w:bidi w:val="0"/>
        <w:snapToGrid w:val="0"/>
        <w:spacing w:line="440" w:lineRule="exact"/>
        <w:jc w:val="both"/>
        <w:rPr>
          <w:rStyle w:val="15"/>
          <w:rFonts w:hint="eastAsia" w:ascii="黑体" w:hAnsi="黑体" w:eastAsia="黑体" w:cs="黑体"/>
          <w:b/>
          <w:bCs/>
          <w:sz w:val="40"/>
          <w:szCs w:val="40"/>
        </w:rPr>
      </w:pPr>
    </w:p>
    <w:p w14:paraId="5BF16FE7">
      <w:pPr>
        <w:keepNext w:val="0"/>
        <w:keepLines w:val="0"/>
        <w:pageBreakBefore w:val="0"/>
        <w:kinsoku/>
        <w:wordWrap/>
        <w:overflowPunct/>
        <w:topLinePunct w:val="0"/>
        <w:autoSpaceDE/>
        <w:autoSpaceDN/>
        <w:bidi w:val="0"/>
        <w:snapToGrid w:val="0"/>
        <w:spacing w:line="440" w:lineRule="exact"/>
        <w:jc w:val="both"/>
        <w:rPr>
          <w:rStyle w:val="15"/>
          <w:rFonts w:hint="eastAsia" w:ascii="黑体" w:hAnsi="黑体" w:eastAsia="黑体" w:cs="黑体"/>
          <w:b/>
          <w:bCs/>
          <w:sz w:val="40"/>
          <w:szCs w:val="40"/>
        </w:rPr>
      </w:pPr>
    </w:p>
    <w:p w14:paraId="0DBD62A6">
      <w:pPr>
        <w:keepNext w:val="0"/>
        <w:keepLines w:val="0"/>
        <w:pageBreakBefore w:val="0"/>
        <w:kinsoku/>
        <w:wordWrap/>
        <w:overflowPunct/>
        <w:topLinePunct w:val="0"/>
        <w:autoSpaceDE/>
        <w:autoSpaceDN/>
        <w:bidi w:val="0"/>
        <w:snapToGrid w:val="0"/>
        <w:spacing w:line="440" w:lineRule="exact"/>
        <w:jc w:val="both"/>
        <w:rPr>
          <w:rStyle w:val="15"/>
          <w:rFonts w:hint="eastAsia" w:ascii="黑体" w:hAnsi="黑体" w:eastAsia="黑体" w:cs="黑体"/>
          <w:b/>
          <w:bCs/>
          <w:sz w:val="40"/>
          <w:szCs w:val="40"/>
        </w:rPr>
      </w:pPr>
    </w:p>
    <w:p w14:paraId="56E8D8F9">
      <w:pPr>
        <w:keepNext w:val="0"/>
        <w:keepLines w:val="0"/>
        <w:pageBreakBefore w:val="0"/>
        <w:kinsoku/>
        <w:wordWrap/>
        <w:overflowPunct/>
        <w:topLinePunct w:val="0"/>
        <w:autoSpaceDE/>
        <w:autoSpaceDN/>
        <w:bidi w:val="0"/>
        <w:snapToGrid w:val="0"/>
        <w:spacing w:line="440" w:lineRule="exact"/>
        <w:jc w:val="both"/>
        <w:rPr>
          <w:rStyle w:val="15"/>
          <w:rFonts w:hint="eastAsia" w:ascii="黑体" w:hAnsi="黑体" w:eastAsia="黑体" w:cs="黑体"/>
          <w:b/>
          <w:bCs/>
          <w:sz w:val="40"/>
          <w:szCs w:val="40"/>
        </w:rPr>
      </w:pPr>
    </w:p>
    <w:p w14:paraId="6792872D">
      <w:pPr>
        <w:keepNext w:val="0"/>
        <w:keepLines w:val="0"/>
        <w:pageBreakBefore w:val="0"/>
        <w:kinsoku/>
        <w:wordWrap/>
        <w:overflowPunct/>
        <w:topLinePunct w:val="0"/>
        <w:autoSpaceDE/>
        <w:autoSpaceDN/>
        <w:bidi w:val="0"/>
        <w:snapToGrid w:val="0"/>
        <w:spacing w:line="440" w:lineRule="exact"/>
        <w:jc w:val="both"/>
        <w:rPr>
          <w:rStyle w:val="15"/>
          <w:rFonts w:hint="eastAsia" w:ascii="黑体" w:hAnsi="黑体" w:eastAsia="黑体" w:cs="黑体"/>
          <w:b/>
          <w:bCs/>
          <w:sz w:val="40"/>
          <w:szCs w:val="40"/>
        </w:rPr>
      </w:pPr>
    </w:p>
    <w:p w14:paraId="201C184A">
      <w:pPr>
        <w:keepNext w:val="0"/>
        <w:keepLines w:val="0"/>
        <w:pageBreakBefore w:val="0"/>
        <w:kinsoku/>
        <w:wordWrap/>
        <w:overflowPunct/>
        <w:topLinePunct w:val="0"/>
        <w:autoSpaceDE/>
        <w:autoSpaceDN/>
        <w:bidi w:val="0"/>
        <w:snapToGrid w:val="0"/>
        <w:spacing w:line="440" w:lineRule="exact"/>
        <w:jc w:val="center"/>
        <w:rPr>
          <w:rStyle w:val="15"/>
          <w:rFonts w:hint="eastAsia" w:ascii="黑体" w:hAnsi="黑体" w:eastAsia="黑体" w:cs="黑体"/>
          <w:b/>
          <w:bCs/>
          <w:sz w:val="40"/>
          <w:szCs w:val="40"/>
        </w:rPr>
      </w:pPr>
    </w:p>
    <w:p w14:paraId="66B124B8">
      <w:pPr>
        <w:keepNext w:val="0"/>
        <w:keepLines w:val="0"/>
        <w:pageBreakBefore w:val="0"/>
        <w:kinsoku/>
        <w:wordWrap/>
        <w:overflowPunct/>
        <w:topLinePunct w:val="0"/>
        <w:autoSpaceDE/>
        <w:autoSpaceDN/>
        <w:bidi w:val="0"/>
        <w:snapToGrid w:val="0"/>
        <w:spacing w:line="440" w:lineRule="exact"/>
        <w:jc w:val="center"/>
        <w:rPr>
          <w:rStyle w:val="15"/>
          <w:rFonts w:ascii="黑体" w:hAnsi="黑体" w:eastAsia="黑体" w:cs="黑体"/>
          <w:b/>
          <w:bCs/>
          <w:sz w:val="40"/>
          <w:szCs w:val="40"/>
        </w:rPr>
      </w:pPr>
      <w:r>
        <w:rPr>
          <w:rStyle w:val="15"/>
          <w:rFonts w:hint="eastAsia" w:ascii="黑体" w:hAnsi="黑体" w:eastAsia="黑体" w:cs="黑体"/>
          <w:b/>
          <w:bCs/>
          <w:sz w:val="40"/>
          <w:szCs w:val="40"/>
        </w:rPr>
        <w:t>咨</w:t>
      </w:r>
    </w:p>
    <w:p w14:paraId="34FDE38B">
      <w:pPr>
        <w:keepNext w:val="0"/>
        <w:keepLines w:val="0"/>
        <w:pageBreakBefore w:val="0"/>
        <w:kinsoku/>
        <w:wordWrap/>
        <w:overflowPunct/>
        <w:topLinePunct w:val="0"/>
        <w:autoSpaceDE/>
        <w:autoSpaceDN/>
        <w:bidi w:val="0"/>
        <w:snapToGrid w:val="0"/>
        <w:spacing w:line="440" w:lineRule="exact"/>
        <w:jc w:val="center"/>
        <w:rPr>
          <w:rStyle w:val="15"/>
          <w:rFonts w:ascii="黑体" w:hAnsi="黑体" w:eastAsia="黑体" w:cs="黑体"/>
          <w:b/>
          <w:bCs/>
          <w:sz w:val="40"/>
          <w:szCs w:val="40"/>
        </w:rPr>
      </w:pPr>
    </w:p>
    <w:p w14:paraId="696DC243">
      <w:pPr>
        <w:keepNext w:val="0"/>
        <w:keepLines w:val="0"/>
        <w:pageBreakBefore w:val="0"/>
        <w:kinsoku/>
        <w:wordWrap/>
        <w:overflowPunct/>
        <w:topLinePunct w:val="0"/>
        <w:autoSpaceDE/>
        <w:autoSpaceDN/>
        <w:bidi w:val="0"/>
        <w:snapToGrid w:val="0"/>
        <w:spacing w:line="440" w:lineRule="exact"/>
        <w:jc w:val="center"/>
        <w:rPr>
          <w:rStyle w:val="15"/>
          <w:rFonts w:ascii="黑体" w:hAnsi="黑体" w:eastAsia="黑体" w:cs="黑体"/>
          <w:b/>
          <w:bCs/>
          <w:sz w:val="40"/>
          <w:szCs w:val="40"/>
        </w:rPr>
      </w:pPr>
      <w:r>
        <w:rPr>
          <w:rStyle w:val="15"/>
          <w:rFonts w:hint="eastAsia" w:ascii="黑体" w:hAnsi="黑体" w:eastAsia="黑体" w:cs="黑体"/>
          <w:b/>
          <w:bCs/>
          <w:sz w:val="40"/>
          <w:szCs w:val="40"/>
        </w:rPr>
        <w:t>询</w:t>
      </w:r>
    </w:p>
    <w:p w14:paraId="385F448B">
      <w:pPr>
        <w:keepNext w:val="0"/>
        <w:keepLines w:val="0"/>
        <w:pageBreakBefore w:val="0"/>
        <w:kinsoku/>
        <w:wordWrap/>
        <w:overflowPunct/>
        <w:topLinePunct w:val="0"/>
        <w:autoSpaceDE/>
        <w:autoSpaceDN/>
        <w:bidi w:val="0"/>
        <w:snapToGrid w:val="0"/>
        <w:spacing w:line="440" w:lineRule="exact"/>
        <w:jc w:val="center"/>
        <w:rPr>
          <w:rStyle w:val="15"/>
          <w:rFonts w:ascii="黑体" w:hAnsi="黑体" w:eastAsia="黑体" w:cs="黑体"/>
          <w:b/>
          <w:bCs/>
          <w:sz w:val="40"/>
          <w:szCs w:val="40"/>
        </w:rPr>
      </w:pPr>
    </w:p>
    <w:p w14:paraId="5CF1A0C3">
      <w:pPr>
        <w:keepNext w:val="0"/>
        <w:keepLines w:val="0"/>
        <w:pageBreakBefore w:val="0"/>
        <w:kinsoku/>
        <w:wordWrap/>
        <w:overflowPunct/>
        <w:topLinePunct w:val="0"/>
        <w:autoSpaceDE/>
        <w:autoSpaceDN/>
        <w:bidi w:val="0"/>
        <w:snapToGrid w:val="0"/>
        <w:spacing w:line="440" w:lineRule="exact"/>
        <w:jc w:val="center"/>
        <w:rPr>
          <w:rStyle w:val="15"/>
          <w:rFonts w:ascii="黑体" w:hAnsi="黑体" w:eastAsia="黑体" w:cs="黑体"/>
          <w:b/>
          <w:bCs/>
          <w:sz w:val="40"/>
          <w:szCs w:val="40"/>
        </w:rPr>
      </w:pPr>
      <w:r>
        <w:rPr>
          <w:rStyle w:val="15"/>
          <w:rFonts w:hint="eastAsia" w:ascii="黑体" w:hAnsi="黑体" w:eastAsia="黑体" w:cs="黑体"/>
          <w:b/>
          <w:bCs/>
          <w:sz w:val="40"/>
          <w:szCs w:val="40"/>
        </w:rPr>
        <w:t>服</w:t>
      </w:r>
    </w:p>
    <w:p w14:paraId="6BE762BD">
      <w:pPr>
        <w:keepNext w:val="0"/>
        <w:keepLines w:val="0"/>
        <w:pageBreakBefore w:val="0"/>
        <w:kinsoku/>
        <w:wordWrap/>
        <w:overflowPunct/>
        <w:topLinePunct w:val="0"/>
        <w:autoSpaceDE/>
        <w:autoSpaceDN/>
        <w:bidi w:val="0"/>
        <w:snapToGrid w:val="0"/>
        <w:spacing w:line="440" w:lineRule="exact"/>
        <w:jc w:val="center"/>
        <w:rPr>
          <w:rStyle w:val="15"/>
          <w:rFonts w:ascii="黑体" w:hAnsi="黑体" w:eastAsia="黑体" w:cs="黑体"/>
          <w:b/>
          <w:bCs/>
          <w:sz w:val="40"/>
          <w:szCs w:val="40"/>
        </w:rPr>
      </w:pPr>
    </w:p>
    <w:p w14:paraId="64E4DB07">
      <w:pPr>
        <w:keepNext w:val="0"/>
        <w:keepLines w:val="0"/>
        <w:pageBreakBefore w:val="0"/>
        <w:kinsoku/>
        <w:wordWrap/>
        <w:overflowPunct/>
        <w:topLinePunct w:val="0"/>
        <w:autoSpaceDE/>
        <w:autoSpaceDN/>
        <w:bidi w:val="0"/>
        <w:snapToGrid w:val="0"/>
        <w:spacing w:line="440" w:lineRule="exact"/>
        <w:jc w:val="center"/>
        <w:rPr>
          <w:rStyle w:val="15"/>
          <w:rFonts w:ascii="黑体" w:hAnsi="黑体" w:eastAsia="黑体" w:cs="黑体"/>
          <w:b/>
          <w:bCs/>
          <w:sz w:val="40"/>
          <w:szCs w:val="40"/>
        </w:rPr>
      </w:pPr>
      <w:r>
        <w:rPr>
          <w:rStyle w:val="15"/>
          <w:rFonts w:hint="eastAsia" w:ascii="黑体" w:hAnsi="黑体" w:eastAsia="黑体" w:cs="黑体"/>
          <w:b/>
          <w:bCs/>
          <w:sz w:val="40"/>
          <w:szCs w:val="40"/>
        </w:rPr>
        <w:t>务</w:t>
      </w:r>
    </w:p>
    <w:p w14:paraId="2FA9821D">
      <w:pPr>
        <w:keepNext w:val="0"/>
        <w:keepLines w:val="0"/>
        <w:pageBreakBefore w:val="0"/>
        <w:kinsoku/>
        <w:wordWrap/>
        <w:overflowPunct/>
        <w:topLinePunct w:val="0"/>
        <w:autoSpaceDE/>
        <w:autoSpaceDN/>
        <w:bidi w:val="0"/>
        <w:snapToGrid w:val="0"/>
        <w:spacing w:line="440" w:lineRule="exact"/>
        <w:jc w:val="center"/>
        <w:rPr>
          <w:rStyle w:val="15"/>
          <w:rFonts w:ascii="黑体" w:hAnsi="黑体" w:eastAsia="黑体" w:cs="黑体"/>
          <w:b/>
          <w:bCs/>
          <w:sz w:val="40"/>
          <w:szCs w:val="40"/>
        </w:rPr>
      </w:pPr>
    </w:p>
    <w:p w14:paraId="19CD2158">
      <w:pPr>
        <w:keepNext w:val="0"/>
        <w:keepLines w:val="0"/>
        <w:pageBreakBefore w:val="0"/>
        <w:kinsoku/>
        <w:wordWrap/>
        <w:overflowPunct/>
        <w:topLinePunct w:val="0"/>
        <w:autoSpaceDE/>
        <w:autoSpaceDN/>
        <w:bidi w:val="0"/>
        <w:snapToGrid w:val="0"/>
        <w:spacing w:line="440" w:lineRule="exact"/>
        <w:jc w:val="center"/>
        <w:rPr>
          <w:rStyle w:val="15"/>
          <w:rFonts w:ascii="黑体" w:hAnsi="黑体" w:eastAsia="黑体" w:cs="黑体"/>
          <w:b/>
          <w:bCs/>
          <w:sz w:val="40"/>
          <w:szCs w:val="40"/>
        </w:rPr>
      </w:pPr>
      <w:r>
        <w:rPr>
          <w:rStyle w:val="15"/>
          <w:rFonts w:hint="eastAsia" w:ascii="黑体" w:hAnsi="黑体" w:eastAsia="黑体" w:cs="黑体"/>
          <w:b/>
          <w:bCs/>
          <w:sz w:val="40"/>
          <w:szCs w:val="40"/>
        </w:rPr>
        <w:t>协</w:t>
      </w:r>
    </w:p>
    <w:p w14:paraId="717BD3FF">
      <w:pPr>
        <w:keepNext w:val="0"/>
        <w:keepLines w:val="0"/>
        <w:pageBreakBefore w:val="0"/>
        <w:kinsoku/>
        <w:wordWrap/>
        <w:overflowPunct/>
        <w:topLinePunct w:val="0"/>
        <w:autoSpaceDE/>
        <w:autoSpaceDN/>
        <w:bidi w:val="0"/>
        <w:snapToGrid w:val="0"/>
        <w:spacing w:line="440" w:lineRule="exact"/>
        <w:rPr>
          <w:rStyle w:val="15"/>
          <w:rFonts w:ascii="黑体" w:hAnsi="黑体" w:eastAsia="黑体" w:cs="黑体"/>
          <w:b/>
          <w:bCs/>
          <w:sz w:val="40"/>
          <w:szCs w:val="40"/>
        </w:rPr>
      </w:pPr>
    </w:p>
    <w:p w14:paraId="4A89FD36">
      <w:pPr>
        <w:keepNext w:val="0"/>
        <w:keepLines w:val="0"/>
        <w:pageBreakBefore w:val="0"/>
        <w:kinsoku/>
        <w:wordWrap/>
        <w:overflowPunct/>
        <w:topLinePunct w:val="0"/>
        <w:autoSpaceDE/>
        <w:autoSpaceDN/>
        <w:bidi w:val="0"/>
        <w:snapToGrid w:val="0"/>
        <w:spacing w:line="440" w:lineRule="exact"/>
        <w:jc w:val="center"/>
        <w:rPr>
          <w:rStyle w:val="15"/>
          <w:rFonts w:ascii="仿宋_GB2312" w:hAnsi="宋体" w:eastAsia="仿宋_GB2312"/>
          <w:bCs/>
          <w:sz w:val="22"/>
          <w:szCs w:val="22"/>
        </w:rPr>
      </w:pPr>
      <w:r>
        <w:rPr>
          <w:rStyle w:val="15"/>
          <w:rFonts w:hint="eastAsia" w:ascii="黑体" w:hAnsi="黑体" w:eastAsia="黑体" w:cs="黑体"/>
          <w:b/>
          <w:bCs/>
          <w:sz w:val="40"/>
          <w:szCs w:val="40"/>
        </w:rPr>
        <w:t>议</w:t>
      </w:r>
    </w:p>
    <w:p w14:paraId="224B95A5">
      <w:pPr>
        <w:keepNext w:val="0"/>
        <w:keepLines w:val="0"/>
        <w:pageBreakBefore w:val="0"/>
        <w:widowControl/>
        <w:kinsoku/>
        <w:wordWrap/>
        <w:overflowPunct/>
        <w:topLinePunct w:val="0"/>
        <w:autoSpaceDE/>
        <w:autoSpaceDN/>
        <w:bidi w:val="0"/>
        <w:adjustRightInd/>
        <w:snapToGrid w:val="0"/>
        <w:spacing w:line="400" w:lineRule="exact"/>
        <w:textAlignment w:val="baseline"/>
        <w:rPr>
          <w:rStyle w:val="15"/>
          <w:rFonts w:hint="eastAsia" w:ascii="仿宋_GB2312" w:hAnsi="宋体" w:eastAsia="仿宋_GB2312"/>
          <w:bCs/>
          <w:sz w:val="22"/>
          <w:szCs w:val="22"/>
          <w:lang w:val="en-US" w:eastAsia="zh-CN"/>
        </w:rPr>
      </w:pPr>
    </w:p>
    <w:p w14:paraId="4F020156">
      <w:pPr>
        <w:keepNext w:val="0"/>
        <w:keepLines w:val="0"/>
        <w:pageBreakBefore w:val="0"/>
        <w:widowControl/>
        <w:kinsoku/>
        <w:wordWrap/>
        <w:overflowPunct/>
        <w:topLinePunct w:val="0"/>
        <w:autoSpaceDE/>
        <w:autoSpaceDN/>
        <w:bidi w:val="0"/>
        <w:adjustRightInd/>
        <w:snapToGrid w:val="0"/>
        <w:spacing w:line="400" w:lineRule="exact"/>
        <w:textAlignment w:val="baseline"/>
        <w:rPr>
          <w:rStyle w:val="15"/>
          <w:rFonts w:hint="default" w:ascii="仿宋_GB2312" w:hAnsi="宋体" w:eastAsia="仿宋_GB2312"/>
          <w:bCs/>
          <w:sz w:val="22"/>
          <w:szCs w:val="22"/>
          <w:lang w:val="en-US" w:eastAsia="zh-CN"/>
        </w:rPr>
      </w:pPr>
      <w:r>
        <w:rPr>
          <w:rStyle w:val="15"/>
          <w:rFonts w:hint="eastAsia" w:ascii="仿宋_GB2312" w:hAnsi="宋体" w:eastAsia="仿宋_GB2312"/>
          <w:bCs/>
          <w:sz w:val="22"/>
          <w:szCs w:val="22"/>
          <w:lang w:val="en-US" w:eastAsia="zh-CN"/>
        </w:rPr>
        <w:t>购买方</w:t>
      </w:r>
      <w:r>
        <w:rPr>
          <w:rStyle w:val="15"/>
          <w:rFonts w:ascii="仿宋_GB2312" w:hAnsi="宋体" w:eastAsia="仿宋_GB2312"/>
          <w:bCs/>
          <w:sz w:val="22"/>
          <w:szCs w:val="22"/>
        </w:rPr>
        <w:t>（甲方）：</w:t>
      </w:r>
    </w:p>
    <w:p w14:paraId="15CC21FB">
      <w:pPr>
        <w:keepNext w:val="0"/>
        <w:keepLines w:val="0"/>
        <w:pageBreakBefore w:val="0"/>
        <w:widowControl/>
        <w:kinsoku/>
        <w:wordWrap/>
        <w:overflowPunct/>
        <w:topLinePunct w:val="0"/>
        <w:autoSpaceDE/>
        <w:autoSpaceDN/>
        <w:bidi w:val="0"/>
        <w:adjustRightInd/>
        <w:snapToGrid w:val="0"/>
        <w:spacing w:line="400" w:lineRule="exact"/>
        <w:textAlignment w:val="baseline"/>
        <w:rPr>
          <w:rStyle w:val="15"/>
          <w:rFonts w:ascii="仿宋_GB2312" w:hAnsi="宋体" w:eastAsia="仿宋_GB2312"/>
          <w:bCs/>
          <w:sz w:val="22"/>
          <w:szCs w:val="22"/>
        </w:rPr>
      </w:pPr>
      <w:r>
        <w:rPr>
          <w:rStyle w:val="15"/>
          <w:rFonts w:ascii="仿宋_GB2312" w:hAnsi="宋体" w:eastAsia="仿宋_GB2312"/>
          <w:bCs/>
          <w:sz w:val="22"/>
          <w:szCs w:val="22"/>
        </w:rPr>
        <w:t>地址：</w:t>
      </w:r>
    </w:p>
    <w:p w14:paraId="046B1DEC">
      <w:pPr>
        <w:keepNext w:val="0"/>
        <w:keepLines w:val="0"/>
        <w:pageBreakBefore w:val="0"/>
        <w:widowControl/>
        <w:kinsoku/>
        <w:wordWrap/>
        <w:overflowPunct/>
        <w:topLinePunct w:val="0"/>
        <w:autoSpaceDE/>
        <w:autoSpaceDN/>
        <w:bidi w:val="0"/>
        <w:adjustRightInd/>
        <w:snapToGrid w:val="0"/>
        <w:spacing w:line="400" w:lineRule="exact"/>
        <w:textAlignment w:val="baseline"/>
        <w:rPr>
          <w:rStyle w:val="15"/>
          <w:rFonts w:ascii="仿宋_GB2312" w:hAnsi="宋体" w:eastAsia="仿宋_GB2312"/>
          <w:bCs/>
          <w:sz w:val="22"/>
          <w:szCs w:val="22"/>
        </w:rPr>
      </w:pPr>
    </w:p>
    <w:p w14:paraId="7136D1D2">
      <w:pPr>
        <w:keepNext w:val="0"/>
        <w:keepLines w:val="0"/>
        <w:pageBreakBefore w:val="0"/>
        <w:widowControl/>
        <w:kinsoku/>
        <w:wordWrap/>
        <w:overflowPunct/>
        <w:topLinePunct w:val="0"/>
        <w:autoSpaceDE/>
        <w:autoSpaceDN/>
        <w:bidi w:val="0"/>
        <w:adjustRightInd/>
        <w:snapToGrid w:val="0"/>
        <w:spacing w:line="400" w:lineRule="exact"/>
        <w:textAlignment w:val="baseline"/>
        <w:rPr>
          <w:rStyle w:val="15"/>
          <w:rFonts w:hint="eastAsia" w:ascii="仿宋_GB2312" w:hAnsi="仿宋_GB2312" w:eastAsia="仿宋_GB2312"/>
          <w:b w:val="0"/>
          <w:i w:val="0"/>
          <w:caps w:val="0"/>
          <w:spacing w:val="0"/>
          <w:w w:val="100"/>
          <w:kern w:val="2"/>
          <w:sz w:val="22"/>
          <w:szCs w:val="22"/>
          <w:lang w:val="en-US" w:eastAsia="zh-CN" w:bidi="ar-SA"/>
        </w:rPr>
      </w:pPr>
      <w:r>
        <w:rPr>
          <w:rStyle w:val="15"/>
          <w:rFonts w:ascii="仿宋_GB2312" w:hAnsi="宋体" w:eastAsia="仿宋_GB2312"/>
          <w:bCs/>
          <w:sz w:val="22"/>
          <w:szCs w:val="22"/>
        </w:rPr>
        <w:t>受托方（乙方</w:t>
      </w:r>
      <w:r>
        <w:rPr>
          <w:rStyle w:val="15"/>
          <w:rFonts w:hint="eastAsia" w:ascii="仿宋_GB2312" w:hAnsi="仿宋_GB2312" w:eastAsia="仿宋_GB2312"/>
          <w:b w:val="0"/>
          <w:i w:val="0"/>
          <w:caps w:val="0"/>
          <w:spacing w:val="0"/>
          <w:w w:val="100"/>
          <w:kern w:val="2"/>
          <w:sz w:val="22"/>
          <w:szCs w:val="22"/>
          <w:lang w:val="en-US" w:eastAsia="zh-CN" w:bidi="ar-SA"/>
        </w:rPr>
        <w:t>）：枣庄市公共资源国有产权交易有限公司</w:t>
      </w:r>
    </w:p>
    <w:p w14:paraId="365C101D">
      <w:pPr>
        <w:keepNext w:val="0"/>
        <w:keepLines w:val="0"/>
        <w:pageBreakBefore w:val="0"/>
        <w:widowControl/>
        <w:kinsoku/>
        <w:wordWrap/>
        <w:overflowPunct/>
        <w:topLinePunct w:val="0"/>
        <w:autoSpaceDE/>
        <w:autoSpaceDN/>
        <w:bidi w:val="0"/>
        <w:adjustRightInd/>
        <w:snapToGrid w:val="0"/>
        <w:spacing w:line="400" w:lineRule="exact"/>
        <w:textAlignment w:val="baseline"/>
        <w:rPr>
          <w:rStyle w:val="15"/>
          <w:rFonts w:hint="eastAsia" w:ascii="仿宋_GB2312" w:hAnsi="仿宋_GB2312" w:eastAsia="仿宋_GB2312"/>
          <w:b w:val="0"/>
          <w:i w:val="0"/>
          <w:caps w:val="0"/>
          <w:spacing w:val="0"/>
          <w:w w:val="100"/>
          <w:kern w:val="2"/>
          <w:sz w:val="22"/>
          <w:szCs w:val="22"/>
          <w:lang w:val="en-US" w:eastAsia="zh-CN" w:bidi="ar-SA"/>
        </w:rPr>
      </w:pPr>
      <w:r>
        <w:rPr>
          <w:rStyle w:val="15"/>
          <w:rFonts w:hint="eastAsia" w:ascii="仿宋_GB2312" w:hAnsi="仿宋_GB2312" w:eastAsia="仿宋_GB2312"/>
          <w:b w:val="0"/>
          <w:i w:val="0"/>
          <w:caps w:val="0"/>
          <w:spacing w:val="0"/>
          <w:w w:val="100"/>
          <w:kern w:val="2"/>
          <w:sz w:val="22"/>
          <w:szCs w:val="22"/>
          <w:lang w:val="en-US" w:eastAsia="zh-CN" w:bidi="ar-SA"/>
        </w:rPr>
        <w:t>地址：山东省枣庄市山亭区府前东路6号市民中心C区</w:t>
      </w:r>
    </w:p>
    <w:p w14:paraId="753F6F6E">
      <w:pPr>
        <w:keepNext w:val="0"/>
        <w:keepLines w:val="0"/>
        <w:pageBreakBefore w:val="0"/>
        <w:widowControl/>
        <w:kinsoku/>
        <w:wordWrap/>
        <w:overflowPunct/>
        <w:topLinePunct w:val="0"/>
        <w:autoSpaceDE/>
        <w:autoSpaceDN/>
        <w:bidi w:val="0"/>
        <w:adjustRightInd/>
        <w:snapToGrid w:val="0"/>
        <w:spacing w:line="400" w:lineRule="exact"/>
        <w:textAlignment w:val="baseline"/>
        <w:rPr>
          <w:rStyle w:val="15"/>
          <w:rFonts w:ascii="仿宋_GB2312" w:hAnsi="宋体" w:eastAsia="仿宋_GB2312"/>
          <w:sz w:val="22"/>
          <w:szCs w:val="22"/>
        </w:rPr>
      </w:pPr>
    </w:p>
    <w:p w14:paraId="52154F8D">
      <w:pPr>
        <w:keepNext w:val="0"/>
        <w:keepLines w:val="0"/>
        <w:pageBreakBefore w:val="0"/>
        <w:widowControl/>
        <w:kinsoku/>
        <w:wordWrap/>
        <w:overflowPunct/>
        <w:topLinePunct w:val="0"/>
        <w:autoSpaceDE/>
        <w:autoSpaceDN/>
        <w:bidi w:val="0"/>
        <w:adjustRightInd/>
        <w:snapToGrid w:val="0"/>
        <w:spacing w:line="400" w:lineRule="exact"/>
        <w:ind w:firstLine="440" w:firstLineChars="200"/>
        <w:textAlignment w:val="baseline"/>
        <w:rPr>
          <w:rStyle w:val="15"/>
          <w:rFonts w:ascii="仿宋_GB2312" w:hAnsi="宋体" w:eastAsia="仿宋_GB2312"/>
          <w:sz w:val="22"/>
          <w:szCs w:val="22"/>
        </w:rPr>
      </w:pPr>
      <w:r>
        <w:rPr>
          <w:rStyle w:val="15"/>
          <w:rFonts w:ascii="仿宋_GB2312" w:hAnsi="宋体" w:eastAsia="仿宋_GB2312"/>
          <w:sz w:val="22"/>
          <w:szCs w:val="22"/>
        </w:rPr>
        <w:t>根据</w:t>
      </w:r>
      <w:r>
        <w:rPr>
          <w:rStyle w:val="15"/>
          <w:rFonts w:hint="eastAsia" w:ascii="仿宋_GB2312" w:hAnsi="宋体" w:eastAsia="仿宋_GB2312"/>
          <w:sz w:val="22"/>
          <w:szCs w:val="22"/>
        </w:rPr>
        <w:t>《行政单位国有资产管理暂行办法》</w:t>
      </w:r>
      <w:r>
        <w:rPr>
          <w:rStyle w:val="15"/>
          <w:rFonts w:hint="eastAsia" w:ascii="仿宋_GB2312" w:hAnsi="宋体" w:eastAsia="仿宋_GB2312"/>
          <w:sz w:val="22"/>
          <w:szCs w:val="22"/>
          <w:lang w:eastAsia="zh-CN"/>
        </w:rPr>
        <w:t>、</w:t>
      </w:r>
      <w:r>
        <w:rPr>
          <w:rStyle w:val="15"/>
          <w:rFonts w:hint="eastAsia" w:ascii="仿宋_GB2312" w:hAnsi="宋体" w:eastAsia="仿宋_GB2312"/>
          <w:sz w:val="22"/>
          <w:szCs w:val="22"/>
        </w:rPr>
        <w:t>《事业单位国有资产管理暂行办法》</w:t>
      </w:r>
      <w:r>
        <w:rPr>
          <w:rStyle w:val="15"/>
          <w:rFonts w:hint="eastAsia" w:ascii="仿宋_GB2312" w:hAnsi="宋体" w:eastAsia="仿宋_GB2312"/>
          <w:sz w:val="22"/>
          <w:szCs w:val="22"/>
          <w:lang w:eastAsia="zh-CN"/>
        </w:rPr>
        <w:t>、</w:t>
      </w:r>
      <w:r>
        <w:rPr>
          <w:rStyle w:val="15"/>
          <w:rFonts w:hint="eastAsia" w:ascii="仿宋_GB2312" w:hAnsi="宋体" w:eastAsia="仿宋_GB2312"/>
          <w:sz w:val="22"/>
          <w:szCs w:val="22"/>
        </w:rPr>
        <w:t>《山东省省级行政事业国有资产处置管理办法》、《山东省国有资产资源有偿使用收入管理办法》、《山东省国有产权交易管理办法》、</w:t>
      </w:r>
      <w:r>
        <w:rPr>
          <w:rStyle w:val="15"/>
          <w:rFonts w:ascii="仿宋_GB2312" w:hAnsi="宋体" w:eastAsia="仿宋_GB2312"/>
          <w:sz w:val="22"/>
          <w:szCs w:val="22"/>
        </w:rPr>
        <w:t>《中华人民共和国</w:t>
      </w:r>
      <w:r>
        <w:rPr>
          <w:rStyle w:val="15"/>
          <w:rFonts w:hint="eastAsia" w:ascii="仿宋_GB2312" w:hAnsi="宋体" w:eastAsia="仿宋_GB2312"/>
          <w:sz w:val="22"/>
          <w:szCs w:val="22"/>
          <w:lang w:val="en-US"/>
        </w:rPr>
        <w:t>民法典</w:t>
      </w:r>
      <w:r>
        <w:rPr>
          <w:rStyle w:val="15"/>
          <w:rFonts w:ascii="仿宋_GB2312" w:hAnsi="宋体" w:eastAsia="仿宋_GB2312"/>
          <w:sz w:val="22"/>
          <w:szCs w:val="22"/>
        </w:rPr>
        <w:t>》等有关规定，甲、乙双方遵循自愿、平等、公正、诚实信用的原则，协商一致，签订</w:t>
      </w:r>
      <w:r>
        <w:rPr>
          <w:rStyle w:val="15"/>
          <w:rFonts w:hint="eastAsia" w:ascii="仿宋_GB2312" w:hAnsi="宋体" w:eastAsia="仿宋_GB2312"/>
          <w:sz w:val="22"/>
          <w:szCs w:val="22"/>
          <w:lang w:eastAsia="zh-CN"/>
        </w:rPr>
        <w:t>咨询服务协议</w:t>
      </w:r>
      <w:r>
        <w:rPr>
          <w:rStyle w:val="15"/>
          <w:rFonts w:ascii="仿宋_GB2312" w:hAnsi="宋体" w:eastAsia="仿宋_GB2312"/>
          <w:sz w:val="22"/>
          <w:szCs w:val="22"/>
        </w:rPr>
        <w:t>如下。</w:t>
      </w:r>
    </w:p>
    <w:p w14:paraId="05FA68D3">
      <w:pPr>
        <w:keepNext w:val="0"/>
        <w:keepLines w:val="0"/>
        <w:pageBreakBefore w:val="0"/>
        <w:widowControl/>
        <w:kinsoku/>
        <w:wordWrap/>
        <w:overflowPunct/>
        <w:topLinePunct w:val="0"/>
        <w:autoSpaceDE/>
        <w:autoSpaceDN/>
        <w:bidi w:val="0"/>
        <w:adjustRightInd/>
        <w:snapToGrid w:val="0"/>
        <w:spacing w:line="400" w:lineRule="exact"/>
        <w:ind w:firstLine="440" w:firstLineChars="200"/>
        <w:textAlignment w:val="baseline"/>
        <w:rPr>
          <w:rStyle w:val="15"/>
          <w:rFonts w:hint="eastAsia" w:ascii="仿宋_GB2312" w:hAnsi="宋体" w:eastAsia="仿宋_GB2312"/>
          <w:sz w:val="22"/>
          <w:szCs w:val="22"/>
          <w:lang w:val="en-US" w:eastAsia="zh-CN"/>
        </w:rPr>
      </w:pPr>
      <w:r>
        <w:rPr>
          <w:rStyle w:val="15"/>
          <w:rFonts w:hint="eastAsia" w:ascii="仿宋_GB2312" w:hAnsi="宋体" w:eastAsia="仿宋_GB2312"/>
          <w:sz w:val="22"/>
          <w:szCs w:val="22"/>
          <w:lang w:val="en-US" w:eastAsia="zh-CN"/>
        </w:rPr>
        <w:t>一、一般委托事项</w:t>
      </w:r>
    </w:p>
    <w:p w14:paraId="3C2479CB">
      <w:pPr>
        <w:keepNext w:val="0"/>
        <w:keepLines w:val="0"/>
        <w:pageBreakBefore w:val="0"/>
        <w:widowControl/>
        <w:kinsoku/>
        <w:wordWrap/>
        <w:overflowPunct/>
        <w:topLinePunct w:val="0"/>
        <w:autoSpaceDE/>
        <w:autoSpaceDN/>
        <w:bidi w:val="0"/>
        <w:adjustRightInd/>
        <w:snapToGrid w:val="0"/>
        <w:spacing w:line="400" w:lineRule="exact"/>
        <w:ind w:firstLine="440" w:firstLineChars="200"/>
        <w:textAlignment w:val="baseline"/>
        <w:rPr>
          <w:rStyle w:val="15"/>
          <w:rFonts w:hint="eastAsia" w:ascii="仿宋_GB2312" w:hAnsi="宋体" w:eastAsia="仿宋_GB2312"/>
          <w:sz w:val="22"/>
          <w:szCs w:val="22"/>
          <w:lang w:val="en-US" w:eastAsia="zh-CN"/>
        </w:rPr>
      </w:pPr>
      <w:r>
        <w:rPr>
          <w:rStyle w:val="15"/>
          <w:rFonts w:hint="eastAsia" w:ascii="仿宋_GB2312" w:hAnsi="宋体" w:eastAsia="仿宋_GB2312"/>
          <w:sz w:val="22"/>
          <w:szCs w:val="22"/>
          <w:lang w:val="en-US" w:eastAsia="zh-CN"/>
        </w:rPr>
        <w:t>1、甲方委托参与</w:t>
      </w:r>
      <w:r>
        <w:rPr>
          <w:rStyle w:val="15"/>
          <w:rFonts w:ascii="仿宋_GB2312" w:hAnsi="宋体" w:eastAsia="仿宋_GB2312"/>
          <w:sz w:val="22"/>
          <w:szCs w:val="22"/>
        </w:rPr>
        <w:t>京沪高铁枣庄站站前服务中心所属报废固定资产处置</w:t>
      </w:r>
      <w:r>
        <w:rPr>
          <w:rStyle w:val="15"/>
          <w:rFonts w:hint="eastAsia" w:ascii="仿宋_GB2312" w:hAnsi="宋体" w:eastAsia="仿宋_GB2312"/>
          <w:sz w:val="22"/>
          <w:szCs w:val="22"/>
          <w:lang w:val="en-US" w:eastAsia="zh-CN"/>
        </w:rPr>
        <w:t>项目的申请。</w:t>
      </w:r>
    </w:p>
    <w:p w14:paraId="53843F92">
      <w:pPr>
        <w:keepNext w:val="0"/>
        <w:keepLines w:val="0"/>
        <w:pageBreakBefore w:val="0"/>
        <w:widowControl/>
        <w:kinsoku/>
        <w:wordWrap/>
        <w:overflowPunct/>
        <w:topLinePunct w:val="0"/>
        <w:autoSpaceDE/>
        <w:autoSpaceDN/>
        <w:bidi w:val="0"/>
        <w:adjustRightInd/>
        <w:snapToGrid w:val="0"/>
        <w:spacing w:line="400" w:lineRule="exact"/>
        <w:ind w:firstLine="440" w:firstLineChars="200"/>
        <w:textAlignment w:val="baseline"/>
        <w:rPr>
          <w:rStyle w:val="15"/>
          <w:rFonts w:hint="eastAsia" w:ascii="仿宋_GB2312" w:hAnsi="宋体" w:eastAsia="仿宋_GB2312"/>
          <w:sz w:val="22"/>
          <w:szCs w:val="22"/>
          <w:lang w:val="en-US" w:eastAsia="zh-CN"/>
        </w:rPr>
      </w:pPr>
      <w:r>
        <w:rPr>
          <w:rStyle w:val="15"/>
          <w:rFonts w:hint="eastAsia" w:ascii="仿宋_GB2312" w:hAnsi="宋体" w:eastAsia="仿宋_GB2312"/>
          <w:sz w:val="22"/>
          <w:szCs w:val="22"/>
          <w:lang w:val="en-US" w:eastAsia="zh-CN"/>
        </w:rPr>
        <w:t>2、具体服务内容：</w:t>
      </w:r>
    </w:p>
    <w:p w14:paraId="13936E18">
      <w:pPr>
        <w:keepNext w:val="0"/>
        <w:keepLines w:val="0"/>
        <w:pageBreakBefore w:val="0"/>
        <w:widowControl/>
        <w:kinsoku/>
        <w:wordWrap/>
        <w:overflowPunct/>
        <w:topLinePunct w:val="0"/>
        <w:autoSpaceDE/>
        <w:autoSpaceDN/>
        <w:bidi w:val="0"/>
        <w:adjustRightInd/>
        <w:snapToGrid w:val="0"/>
        <w:spacing w:line="400" w:lineRule="exact"/>
        <w:ind w:firstLine="440" w:firstLineChars="200"/>
        <w:textAlignment w:val="baseline"/>
        <w:rPr>
          <w:rStyle w:val="15"/>
          <w:rFonts w:hint="eastAsia" w:ascii="仿宋_GB2312" w:hAnsi="宋体" w:eastAsia="仿宋_GB2312"/>
          <w:sz w:val="22"/>
          <w:szCs w:val="22"/>
          <w:lang w:val="en-US" w:eastAsia="zh-CN"/>
        </w:rPr>
      </w:pPr>
      <w:r>
        <w:rPr>
          <w:rStyle w:val="15"/>
          <w:rFonts w:hint="eastAsia" w:ascii="仿宋_GB2312" w:hAnsi="宋体" w:eastAsia="仿宋_GB2312"/>
          <w:sz w:val="22"/>
          <w:szCs w:val="22"/>
          <w:lang w:val="en-US" w:eastAsia="zh-CN"/>
        </w:rPr>
        <w:t>（1）向甲方提供有关法律、法规、政策及产权交易的专业咨询服务；</w:t>
      </w:r>
    </w:p>
    <w:p w14:paraId="6EE86D57">
      <w:pPr>
        <w:keepNext w:val="0"/>
        <w:keepLines w:val="0"/>
        <w:pageBreakBefore w:val="0"/>
        <w:widowControl/>
        <w:kinsoku/>
        <w:wordWrap/>
        <w:overflowPunct/>
        <w:topLinePunct w:val="0"/>
        <w:autoSpaceDE/>
        <w:autoSpaceDN/>
        <w:bidi w:val="0"/>
        <w:adjustRightInd/>
        <w:snapToGrid w:val="0"/>
        <w:spacing w:line="400" w:lineRule="exact"/>
        <w:ind w:firstLine="440" w:firstLineChars="200"/>
        <w:textAlignment w:val="baseline"/>
        <w:rPr>
          <w:rStyle w:val="15"/>
          <w:rFonts w:hint="eastAsia" w:ascii="仿宋_GB2312" w:hAnsi="宋体" w:eastAsia="仿宋_GB2312"/>
          <w:sz w:val="22"/>
          <w:szCs w:val="22"/>
        </w:rPr>
      </w:pPr>
      <w:r>
        <w:rPr>
          <w:rStyle w:val="15"/>
          <w:rFonts w:hint="eastAsia" w:ascii="仿宋_GB2312" w:hAnsi="宋体" w:eastAsia="仿宋_GB2312"/>
          <w:sz w:val="22"/>
          <w:szCs w:val="22"/>
          <w:lang w:val="en-US" w:eastAsia="zh-CN"/>
        </w:rPr>
        <w:t>（2）代为制作</w:t>
      </w:r>
      <w:r>
        <w:rPr>
          <w:rStyle w:val="15"/>
          <w:rFonts w:ascii="仿宋_GB2312" w:hAnsi="宋体" w:eastAsia="仿宋_GB2312"/>
          <w:sz w:val="22"/>
          <w:szCs w:val="22"/>
        </w:rPr>
        <w:t>《</w:t>
      </w:r>
      <w:r>
        <w:rPr>
          <w:rStyle w:val="15"/>
          <w:rFonts w:hint="eastAsia" w:ascii="仿宋_GB2312" w:hAnsi="宋体" w:eastAsia="仿宋_GB2312"/>
          <w:sz w:val="22"/>
          <w:szCs w:val="22"/>
        </w:rPr>
        <w:t>网络竞价承诺函</w:t>
      </w:r>
      <w:r>
        <w:rPr>
          <w:rStyle w:val="15"/>
          <w:rFonts w:ascii="仿宋_GB2312" w:hAnsi="宋体" w:eastAsia="仿宋_GB2312"/>
          <w:sz w:val="22"/>
          <w:szCs w:val="22"/>
        </w:rPr>
        <w:t>》</w:t>
      </w:r>
      <w:r>
        <w:rPr>
          <w:rStyle w:val="15"/>
          <w:rFonts w:hint="eastAsia" w:ascii="仿宋_GB2312" w:hAnsi="宋体" w:eastAsia="仿宋_GB2312"/>
          <w:sz w:val="22"/>
          <w:szCs w:val="22"/>
          <w:lang w:eastAsia="zh-CN"/>
        </w:rPr>
        <w:t>、</w:t>
      </w:r>
      <w:r>
        <w:rPr>
          <w:rStyle w:val="15"/>
          <w:rFonts w:ascii="仿宋_GB2312" w:hAnsi="宋体" w:eastAsia="仿宋_GB2312"/>
          <w:sz w:val="22"/>
          <w:szCs w:val="22"/>
        </w:rPr>
        <w:t>《</w:t>
      </w:r>
      <w:r>
        <w:rPr>
          <w:rStyle w:val="15"/>
          <w:rFonts w:hint="eastAsia" w:ascii="仿宋_GB2312" w:hAnsi="宋体" w:eastAsia="仿宋_GB2312"/>
          <w:sz w:val="22"/>
          <w:szCs w:val="22"/>
        </w:rPr>
        <w:t>资产受让网络竞价须知》</w:t>
      </w:r>
      <w:r>
        <w:rPr>
          <w:rStyle w:val="15"/>
          <w:rFonts w:hint="eastAsia" w:ascii="仿宋_GB2312" w:hAnsi="宋体" w:eastAsia="仿宋_GB2312"/>
          <w:sz w:val="22"/>
          <w:szCs w:val="22"/>
          <w:lang w:val="en-US" w:eastAsia="zh-CN"/>
        </w:rPr>
        <w:t>等报名交易材料</w:t>
      </w:r>
      <w:r>
        <w:rPr>
          <w:rStyle w:val="15"/>
          <w:rFonts w:hint="eastAsia" w:ascii="仿宋_GB2312" w:hAnsi="宋体" w:eastAsia="仿宋_GB2312"/>
          <w:sz w:val="22"/>
          <w:szCs w:val="22"/>
        </w:rPr>
        <w:t>；</w:t>
      </w:r>
    </w:p>
    <w:p w14:paraId="34E207A7">
      <w:pPr>
        <w:keepNext w:val="0"/>
        <w:keepLines w:val="0"/>
        <w:pageBreakBefore w:val="0"/>
        <w:widowControl/>
        <w:kinsoku/>
        <w:wordWrap/>
        <w:overflowPunct/>
        <w:topLinePunct w:val="0"/>
        <w:autoSpaceDE/>
        <w:autoSpaceDN/>
        <w:bidi w:val="0"/>
        <w:adjustRightInd/>
        <w:snapToGrid w:val="0"/>
        <w:spacing w:line="400" w:lineRule="exact"/>
        <w:ind w:firstLine="440" w:firstLineChars="200"/>
        <w:textAlignment w:val="baseline"/>
        <w:rPr>
          <w:rStyle w:val="15"/>
          <w:rFonts w:ascii="仿宋_GB2312" w:hAnsi="宋体" w:eastAsia="仿宋_GB2312"/>
          <w:sz w:val="22"/>
          <w:szCs w:val="22"/>
        </w:rPr>
      </w:pPr>
      <w:r>
        <w:rPr>
          <w:rStyle w:val="15"/>
          <w:rFonts w:hint="eastAsia" w:ascii="仿宋_GB2312" w:hAnsi="宋体" w:eastAsia="仿宋_GB2312"/>
          <w:sz w:val="22"/>
          <w:szCs w:val="22"/>
          <w:lang w:val="en-US" w:eastAsia="zh-CN"/>
        </w:rPr>
        <w:t>（4）对委托项目进行现场看样、告知竞价网址、竞价账号、竞价时间、操作流程相关事宜等其他交易综合配套服务</w:t>
      </w:r>
      <w:r>
        <w:rPr>
          <w:rStyle w:val="15"/>
          <w:rFonts w:ascii="仿宋_GB2312" w:hAnsi="宋体" w:eastAsia="仿宋_GB2312"/>
          <w:sz w:val="22"/>
          <w:szCs w:val="22"/>
        </w:rPr>
        <w:t>；</w:t>
      </w:r>
    </w:p>
    <w:p w14:paraId="2A4C677B">
      <w:pPr>
        <w:keepNext w:val="0"/>
        <w:keepLines w:val="0"/>
        <w:pageBreakBefore w:val="0"/>
        <w:widowControl/>
        <w:kinsoku/>
        <w:wordWrap/>
        <w:overflowPunct/>
        <w:topLinePunct w:val="0"/>
        <w:autoSpaceDE/>
        <w:autoSpaceDN/>
        <w:bidi w:val="0"/>
        <w:adjustRightInd/>
        <w:snapToGrid w:val="0"/>
        <w:spacing w:line="400" w:lineRule="exact"/>
        <w:ind w:firstLine="440" w:firstLineChars="200"/>
        <w:textAlignment w:val="baseline"/>
        <w:rPr>
          <w:rStyle w:val="15"/>
          <w:rFonts w:ascii="仿宋_GB2312" w:hAnsi="宋体" w:eastAsia="仿宋_GB2312"/>
          <w:sz w:val="22"/>
          <w:szCs w:val="22"/>
        </w:rPr>
      </w:pPr>
      <w:r>
        <w:rPr>
          <w:rStyle w:val="15"/>
          <w:rFonts w:hint="eastAsia" w:ascii="仿宋_GB2312" w:hAnsi="宋体" w:eastAsia="仿宋_GB2312"/>
          <w:sz w:val="22"/>
          <w:szCs w:val="22"/>
          <w:lang w:val="en-US" w:eastAsia="zh-CN"/>
        </w:rPr>
        <w:t>（5）其他</w:t>
      </w:r>
      <w:r>
        <w:rPr>
          <w:rStyle w:val="15"/>
          <w:rFonts w:ascii="仿宋_GB2312" w:hAnsi="宋体" w:eastAsia="仿宋_GB2312"/>
          <w:sz w:val="22"/>
          <w:szCs w:val="22"/>
        </w:rPr>
        <w:t>《山东省企业国有产权交易规则》应提供的服务。</w:t>
      </w:r>
    </w:p>
    <w:p w14:paraId="4D512949">
      <w:pPr>
        <w:keepNext w:val="0"/>
        <w:keepLines w:val="0"/>
        <w:pageBreakBefore w:val="0"/>
        <w:widowControl/>
        <w:kinsoku/>
        <w:wordWrap/>
        <w:overflowPunct/>
        <w:topLinePunct w:val="0"/>
        <w:autoSpaceDE/>
        <w:autoSpaceDN/>
        <w:bidi w:val="0"/>
        <w:adjustRightInd/>
        <w:snapToGrid w:val="0"/>
        <w:spacing w:line="400" w:lineRule="exact"/>
        <w:ind w:firstLine="440" w:firstLineChars="200"/>
        <w:textAlignment w:val="baseline"/>
        <w:rPr>
          <w:rStyle w:val="15"/>
          <w:rFonts w:ascii="仿宋_GB2312" w:hAnsi="宋体" w:eastAsia="仿宋_GB2312"/>
          <w:bCs/>
          <w:sz w:val="22"/>
          <w:szCs w:val="22"/>
        </w:rPr>
      </w:pPr>
      <w:r>
        <w:rPr>
          <w:rStyle w:val="15"/>
          <w:rFonts w:ascii="仿宋_GB2312" w:hAnsi="宋体" w:eastAsia="仿宋_GB2312"/>
          <w:bCs/>
          <w:sz w:val="22"/>
          <w:szCs w:val="22"/>
        </w:rPr>
        <w:t>二、委托期限</w:t>
      </w:r>
    </w:p>
    <w:p w14:paraId="37D1FDFC">
      <w:pPr>
        <w:keepNext w:val="0"/>
        <w:keepLines w:val="0"/>
        <w:pageBreakBefore w:val="0"/>
        <w:widowControl/>
        <w:kinsoku/>
        <w:wordWrap/>
        <w:overflowPunct/>
        <w:topLinePunct w:val="0"/>
        <w:autoSpaceDE/>
        <w:autoSpaceDN/>
        <w:bidi w:val="0"/>
        <w:adjustRightInd/>
        <w:snapToGrid w:val="0"/>
        <w:spacing w:line="400" w:lineRule="exact"/>
        <w:ind w:firstLine="440" w:firstLineChars="200"/>
        <w:textAlignment w:val="baseline"/>
        <w:rPr>
          <w:rStyle w:val="15"/>
          <w:rFonts w:ascii="仿宋_GB2312" w:hAnsi="宋体" w:eastAsia="仿宋_GB2312"/>
          <w:bCs/>
          <w:sz w:val="22"/>
          <w:szCs w:val="22"/>
        </w:rPr>
      </w:pPr>
      <w:r>
        <w:rPr>
          <w:rStyle w:val="15"/>
          <w:rFonts w:ascii="仿宋_GB2312" w:hAnsi="宋体" w:eastAsia="仿宋_GB2312"/>
          <w:bCs/>
          <w:sz w:val="22"/>
          <w:szCs w:val="22"/>
        </w:rPr>
        <w:t>委托期限自</w:t>
      </w:r>
      <w:r>
        <w:rPr>
          <w:rStyle w:val="15"/>
          <w:rFonts w:hint="eastAsia" w:ascii="仿宋_GB2312" w:hAnsi="宋体" w:eastAsia="仿宋_GB2312"/>
          <w:bCs/>
          <w:sz w:val="22"/>
          <w:szCs w:val="22"/>
          <w:lang w:val="en-US" w:eastAsia="zh-CN"/>
        </w:rPr>
        <w:t>2026年10月22日</w:t>
      </w:r>
      <w:r>
        <w:rPr>
          <w:rStyle w:val="15"/>
          <w:rFonts w:ascii="仿宋_GB2312" w:hAnsi="宋体" w:eastAsia="仿宋_GB2312"/>
          <w:bCs/>
          <w:sz w:val="22"/>
          <w:szCs w:val="22"/>
        </w:rPr>
        <w:t>起，至交易完成日止。</w:t>
      </w:r>
    </w:p>
    <w:p w14:paraId="6ACBDB5E">
      <w:pPr>
        <w:keepNext w:val="0"/>
        <w:keepLines w:val="0"/>
        <w:pageBreakBefore w:val="0"/>
        <w:widowControl/>
        <w:kinsoku/>
        <w:wordWrap/>
        <w:overflowPunct/>
        <w:topLinePunct w:val="0"/>
        <w:autoSpaceDE/>
        <w:autoSpaceDN/>
        <w:bidi w:val="0"/>
        <w:adjustRightInd/>
        <w:snapToGrid w:val="0"/>
        <w:spacing w:line="400" w:lineRule="exact"/>
        <w:ind w:firstLine="440" w:firstLineChars="200"/>
        <w:textAlignment w:val="baseline"/>
        <w:rPr>
          <w:rStyle w:val="15"/>
          <w:rFonts w:ascii="仿宋_GB2312" w:hAnsi="宋体" w:eastAsia="仿宋_GB2312"/>
          <w:bCs/>
          <w:sz w:val="22"/>
          <w:szCs w:val="22"/>
        </w:rPr>
      </w:pPr>
      <w:r>
        <w:rPr>
          <w:rStyle w:val="15"/>
          <w:rFonts w:ascii="仿宋_GB2312" w:hAnsi="宋体" w:eastAsia="仿宋_GB2312"/>
          <w:bCs/>
          <w:sz w:val="22"/>
          <w:szCs w:val="22"/>
        </w:rPr>
        <w:t>三、权利和义务</w:t>
      </w:r>
    </w:p>
    <w:p w14:paraId="5BF95B0C">
      <w:pPr>
        <w:keepNext w:val="0"/>
        <w:keepLines w:val="0"/>
        <w:pageBreakBefore w:val="0"/>
        <w:widowControl/>
        <w:kinsoku/>
        <w:wordWrap/>
        <w:overflowPunct/>
        <w:topLinePunct w:val="0"/>
        <w:autoSpaceDE/>
        <w:autoSpaceDN/>
        <w:bidi w:val="0"/>
        <w:adjustRightInd/>
        <w:snapToGrid w:val="0"/>
        <w:spacing w:line="400" w:lineRule="exact"/>
        <w:ind w:firstLine="440" w:firstLineChars="200"/>
        <w:textAlignment w:val="baseline"/>
        <w:rPr>
          <w:rStyle w:val="15"/>
          <w:rFonts w:ascii="仿宋_GB2312" w:hAnsi="宋体" w:eastAsia="仿宋_GB2312"/>
          <w:sz w:val="22"/>
          <w:szCs w:val="22"/>
        </w:rPr>
      </w:pPr>
      <w:r>
        <w:rPr>
          <w:rStyle w:val="15"/>
          <w:rFonts w:ascii="仿宋_GB2312" w:hAnsi="宋体" w:eastAsia="仿宋_GB2312"/>
          <w:sz w:val="22"/>
          <w:szCs w:val="22"/>
        </w:rPr>
        <w:t>1</w:t>
      </w:r>
      <w:r>
        <w:rPr>
          <w:rStyle w:val="15"/>
          <w:rFonts w:hint="eastAsia" w:ascii="仿宋_GB2312" w:hAnsi="宋体" w:eastAsia="仿宋_GB2312"/>
          <w:sz w:val="22"/>
          <w:szCs w:val="22"/>
          <w:lang w:eastAsia="zh-CN"/>
        </w:rPr>
        <w:t>、</w:t>
      </w:r>
      <w:r>
        <w:rPr>
          <w:rStyle w:val="15"/>
          <w:rFonts w:ascii="仿宋_GB2312" w:hAnsi="宋体" w:eastAsia="仿宋_GB2312"/>
          <w:sz w:val="22"/>
          <w:szCs w:val="22"/>
        </w:rPr>
        <w:t>甲、乙双方应遵守国家及山东省有关法律、法规、规章及《山东省企业国有产权交易规则》的有关规定，自觉接受</w:t>
      </w:r>
      <w:r>
        <w:rPr>
          <w:rFonts w:hint="eastAsia" w:ascii="仿宋" w:hAnsi="仿宋" w:eastAsia="仿宋" w:cs="仿宋"/>
          <w:color w:val="0D0D0D" w:themeColor="text1" w:themeTint="F2"/>
          <w:kern w:val="0"/>
          <w:sz w:val="21"/>
          <w:szCs w:val="21"/>
          <w:lang w:val="en-US" w:eastAsia="zh-CN"/>
          <w14:textFill>
            <w14:solidFill>
              <w14:schemeClr w14:val="tx1">
                <w14:lumMod w14:val="95000"/>
                <w14:lumOff w14:val="5000"/>
              </w14:schemeClr>
            </w14:solidFill>
          </w14:textFill>
        </w:rPr>
        <w:t>枣庄</w:t>
      </w:r>
      <w:r>
        <w:rPr>
          <w:rStyle w:val="15"/>
          <w:rFonts w:hint="eastAsia" w:ascii="仿宋_GB2312" w:hAnsi="宋体" w:eastAsia="仿宋_GB2312"/>
          <w:sz w:val="22"/>
          <w:szCs w:val="22"/>
          <w:lang w:val="en-US" w:eastAsia="zh-CN"/>
        </w:rPr>
        <w:t>市公共资源国有产权交易有限公司</w:t>
      </w:r>
      <w:r>
        <w:rPr>
          <w:rStyle w:val="15"/>
          <w:rFonts w:ascii="仿宋_GB2312" w:hAnsi="宋体" w:eastAsia="仿宋_GB2312"/>
          <w:sz w:val="22"/>
          <w:szCs w:val="22"/>
        </w:rPr>
        <w:t>的监管。</w:t>
      </w:r>
    </w:p>
    <w:p w14:paraId="5E162D1A">
      <w:pPr>
        <w:keepNext w:val="0"/>
        <w:keepLines w:val="0"/>
        <w:pageBreakBefore w:val="0"/>
        <w:widowControl/>
        <w:kinsoku/>
        <w:wordWrap/>
        <w:overflowPunct/>
        <w:topLinePunct w:val="0"/>
        <w:autoSpaceDE/>
        <w:autoSpaceDN/>
        <w:bidi w:val="0"/>
        <w:adjustRightInd/>
        <w:snapToGrid w:val="0"/>
        <w:spacing w:line="400" w:lineRule="exact"/>
        <w:ind w:firstLine="440" w:firstLineChars="200"/>
        <w:textAlignment w:val="baseline"/>
        <w:rPr>
          <w:rStyle w:val="15"/>
          <w:rFonts w:ascii="仿宋_GB2312" w:hAnsi="宋体" w:eastAsia="仿宋_GB2312"/>
          <w:sz w:val="22"/>
          <w:szCs w:val="22"/>
        </w:rPr>
      </w:pPr>
      <w:r>
        <w:rPr>
          <w:rStyle w:val="15"/>
          <w:rFonts w:ascii="仿宋_GB2312" w:hAnsi="宋体" w:eastAsia="仿宋_GB2312"/>
          <w:sz w:val="22"/>
          <w:szCs w:val="22"/>
        </w:rPr>
        <w:t>2</w:t>
      </w:r>
      <w:r>
        <w:rPr>
          <w:rStyle w:val="15"/>
          <w:rFonts w:hint="eastAsia" w:ascii="仿宋_GB2312" w:hAnsi="宋体" w:eastAsia="仿宋_GB2312"/>
          <w:sz w:val="22"/>
          <w:szCs w:val="22"/>
          <w:lang w:eastAsia="zh-CN"/>
        </w:rPr>
        <w:t>、</w:t>
      </w:r>
      <w:r>
        <w:rPr>
          <w:rStyle w:val="15"/>
          <w:rFonts w:ascii="仿宋_GB2312" w:hAnsi="宋体" w:eastAsia="仿宋_GB2312"/>
          <w:sz w:val="22"/>
          <w:szCs w:val="22"/>
        </w:rPr>
        <w:t>甲方应根据《山东省企业国有产权交易规则》及相关文件的要求，向乙方及时、完整地提供为完成委托事项所要求的相关文件材料。</w:t>
      </w:r>
    </w:p>
    <w:p w14:paraId="627FA58E">
      <w:pPr>
        <w:keepNext w:val="0"/>
        <w:keepLines w:val="0"/>
        <w:pageBreakBefore w:val="0"/>
        <w:widowControl/>
        <w:kinsoku/>
        <w:wordWrap/>
        <w:overflowPunct/>
        <w:topLinePunct w:val="0"/>
        <w:autoSpaceDE/>
        <w:autoSpaceDN/>
        <w:bidi w:val="0"/>
        <w:adjustRightInd/>
        <w:snapToGrid w:val="0"/>
        <w:spacing w:line="400" w:lineRule="exact"/>
        <w:ind w:firstLine="440" w:firstLineChars="200"/>
        <w:textAlignment w:val="baseline"/>
        <w:rPr>
          <w:rStyle w:val="15"/>
          <w:rFonts w:ascii="仿宋_GB2312" w:hAnsi="宋体" w:eastAsia="仿宋_GB2312"/>
          <w:sz w:val="22"/>
          <w:szCs w:val="22"/>
        </w:rPr>
      </w:pPr>
      <w:r>
        <w:rPr>
          <w:rStyle w:val="15"/>
          <w:rFonts w:ascii="仿宋_GB2312" w:hAnsi="宋体" w:eastAsia="仿宋_GB2312"/>
          <w:sz w:val="22"/>
          <w:szCs w:val="22"/>
        </w:rPr>
        <w:t>3</w:t>
      </w:r>
      <w:r>
        <w:rPr>
          <w:rStyle w:val="15"/>
          <w:rFonts w:hint="eastAsia" w:ascii="仿宋_GB2312" w:hAnsi="宋体" w:eastAsia="仿宋_GB2312"/>
          <w:sz w:val="22"/>
          <w:szCs w:val="22"/>
          <w:lang w:eastAsia="zh-CN"/>
        </w:rPr>
        <w:t>、</w:t>
      </w:r>
      <w:r>
        <w:rPr>
          <w:rStyle w:val="15"/>
          <w:rFonts w:ascii="仿宋_GB2312" w:hAnsi="宋体" w:eastAsia="仿宋_GB2312"/>
          <w:sz w:val="22"/>
          <w:szCs w:val="22"/>
        </w:rPr>
        <w:t>甲方应如实提供有关文件材料和陈述有关事实，乙方有权对有关文件材料的真实性、合法性进行审查。甲方应承担提供虚假文件或隐瞒事实的法律后果。</w:t>
      </w:r>
    </w:p>
    <w:p w14:paraId="55F70F3B">
      <w:pPr>
        <w:keepNext w:val="0"/>
        <w:keepLines w:val="0"/>
        <w:pageBreakBefore w:val="0"/>
        <w:widowControl/>
        <w:kinsoku/>
        <w:wordWrap/>
        <w:overflowPunct/>
        <w:topLinePunct w:val="0"/>
        <w:autoSpaceDE/>
        <w:autoSpaceDN/>
        <w:bidi w:val="0"/>
        <w:adjustRightInd/>
        <w:snapToGrid w:val="0"/>
        <w:spacing w:line="400" w:lineRule="exact"/>
        <w:ind w:firstLine="440" w:firstLineChars="200"/>
        <w:textAlignment w:val="baseline"/>
        <w:rPr>
          <w:rStyle w:val="15"/>
          <w:rFonts w:ascii="仿宋_GB2312" w:hAnsi="宋体" w:eastAsia="仿宋_GB2312"/>
          <w:sz w:val="22"/>
          <w:szCs w:val="22"/>
        </w:rPr>
      </w:pPr>
      <w:r>
        <w:rPr>
          <w:rStyle w:val="15"/>
          <w:rFonts w:ascii="仿宋_GB2312" w:hAnsi="宋体" w:eastAsia="仿宋_GB2312"/>
          <w:sz w:val="22"/>
          <w:szCs w:val="22"/>
        </w:rPr>
        <w:t>4</w:t>
      </w:r>
      <w:r>
        <w:rPr>
          <w:rStyle w:val="15"/>
          <w:rFonts w:hint="eastAsia" w:ascii="仿宋_GB2312" w:hAnsi="宋体" w:eastAsia="仿宋_GB2312"/>
          <w:sz w:val="22"/>
          <w:szCs w:val="22"/>
          <w:lang w:eastAsia="zh-CN"/>
        </w:rPr>
        <w:t>、</w:t>
      </w:r>
      <w:r>
        <w:rPr>
          <w:rStyle w:val="15"/>
          <w:rFonts w:ascii="仿宋_GB2312" w:hAnsi="宋体" w:eastAsia="仿宋_GB2312"/>
          <w:sz w:val="22"/>
          <w:szCs w:val="22"/>
        </w:rPr>
        <w:t>甲、乙双方均具有对对方所提供的相关材料承担保密的义务。未经对方同意，不得提供给第三方。</w:t>
      </w:r>
    </w:p>
    <w:p w14:paraId="12605DE8">
      <w:pPr>
        <w:keepNext w:val="0"/>
        <w:keepLines w:val="0"/>
        <w:pageBreakBefore w:val="0"/>
        <w:widowControl/>
        <w:kinsoku/>
        <w:wordWrap/>
        <w:overflowPunct/>
        <w:topLinePunct w:val="0"/>
        <w:autoSpaceDE/>
        <w:autoSpaceDN/>
        <w:bidi w:val="0"/>
        <w:adjustRightInd/>
        <w:snapToGrid w:val="0"/>
        <w:spacing w:line="400" w:lineRule="exact"/>
        <w:ind w:firstLine="440" w:firstLineChars="200"/>
        <w:textAlignment w:val="baseline"/>
        <w:rPr>
          <w:rStyle w:val="15"/>
          <w:rFonts w:ascii="仿宋_GB2312" w:hAnsi="宋体" w:eastAsia="仿宋_GB2312"/>
          <w:sz w:val="22"/>
          <w:szCs w:val="22"/>
        </w:rPr>
      </w:pPr>
      <w:r>
        <w:rPr>
          <w:rStyle w:val="15"/>
          <w:rFonts w:ascii="仿宋_GB2312" w:hAnsi="宋体" w:eastAsia="仿宋_GB2312"/>
          <w:sz w:val="22"/>
          <w:szCs w:val="22"/>
        </w:rPr>
        <w:t>四、双方的承诺</w:t>
      </w:r>
    </w:p>
    <w:p w14:paraId="361CCCD9">
      <w:pPr>
        <w:keepNext w:val="0"/>
        <w:keepLines w:val="0"/>
        <w:pageBreakBefore w:val="0"/>
        <w:widowControl/>
        <w:kinsoku/>
        <w:wordWrap/>
        <w:overflowPunct/>
        <w:topLinePunct w:val="0"/>
        <w:autoSpaceDE/>
        <w:autoSpaceDN/>
        <w:bidi w:val="0"/>
        <w:adjustRightInd/>
        <w:snapToGrid w:val="0"/>
        <w:spacing w:line="400" w:lineRule="exact"/>
        <w:ind w:firstLine="440" w:firstLineChars="200"/>
        <w:textAlignment w:val="baseline"/>
        <w:rPr>
          <w:rStyle w:val="15"/>
          <w:rFonts w:ascii="仿宋_GB2312" w:hAnsi="宋体" w:eastAsia="仿宋_GB2312"/>
          <w:sz w:val="22"/>
          <w:szCs w:val="22"/>
        </w:rPr>
      </w:pPr>
      <w:r>
        <w:rPr>
          <w:rStyle w:val="15"/>
          <w:rFonts w:hint="eastAsia" w:ascii="仿宋_GB2312" w:hAnsi="宋体" w:eastAsia="仿宋_GB2312"/>
          <w:sz w:val="22"/>
          <w:szCs w:val="22"/>
          <w:lang w:val="en-US" w:eastAsia="zh-CN"/>
        </w:rPr>
        <w:t>1、</w:t>
      </w:r>
      <w:r>
        <w:rPr>
          <w:rStyle w:val="15"/>
          <w:rFonts w:ascii="仿宋_GB2312" w:hAnsi="宋体" w:eastAsia="仿宋_GB2312"/>
          <w:sz w:val="22"/>
          <w:szCs w:val="22"/>
        </w:rPr>
        <w:t>甲、乙双方承诺其所提供的所有材料（包括原件、复印件）、陈述的事实真实、完整、有效。</w:t>
      </w:r>
    </w:p>
    <w:p w14:paraId="7D3F9BC9">
      <w:pPr>
        <w:keepNext w:val="0"/>
        <w:keepLines w:val="0"/>
        <w:pageBreakBefore w:val="0"/>
        <w:widowControl/>
        <w:kinsoku/>
        <w:wordWrap/>
        <w:overflowPunct/>
        <w:topLinePunct w:val="0"/>
        <w:autoSpaceDE/>
        <w:autoSpaceDN/>
        <w:bidi w:val="0"/>
        <w:adjustRightInd/>
        <w:snapToGrid w:val="0"/>
        <w:spacing w:line="400" w:lineRule="exact"/>
        <w:ind w:firstLine="440" w:firstLineChars="200"/>
        <w:textAlignment w:val="baseline"/>
        <w:rPr>
          <w:rStyle w:val="15"/>
          <w:rFonts w:hint="eastAsia" w:ascii="仿宋_GB2312" w:hAnsi="宋体" w:eastAsia="仿宋_GB2312"/>
          <w:sz w:val="22"/>
          <w:szCs w:val="22"/>
        </w:rPr>
      </w:pPr>
      <w:r>
        <w:rPr>
          <w:rStyle w:val="15"/>
          <w:rFonts w:ascii="仿宋_GB2312" w:hAnsi="宋体" w:eastAsia="仿宋_GB2312"/>
          <w:sz w:val="22"/>
          <w:szCs w:val="22"/>
        </w:rPr>
        <w:t>2</w:t>
      </w:r>
      <w:r>
        <w:rPr>
          <w:rStyle w:val="15"/>
          <w:rFonts w:hint="eastAsia" w:ascii="仿宋_GB2312" w:hAnsi="宋体" w:eastAsia="仿宋_GB2312"/>
          <w:sz w:val="22"/>
          <w:szCs w:val="22"/>
          <w:lang w:eastAsia="zh-CN"/>
        </w:rPr>
        <w:t>、</w:t>
      </w:r>
      <w:r>
        <w:rPr>
          <w:rStyle w:val="15"/>
          <w:rFonts w:ascii="仿宋_GB2312" w:hAnsi="宋体" w:eastAsia="仿宋_GB2312"/>
          <w:sz w:val="22"/>
          <w:szCs w:val="22"/>
        </w:rPr>
        <w:t>甲方</w:t>
      </w:r>
      <w:r>
        <w:rPr>
          <w:rStyle w:val="15"/>
          <w:rFonts w:hint="eastAsia" w:ascii="仿宋_GB2312" w:hAnsi="宋体" w:eastAsia="仿宋_GB2312"/>
          <w:sz w:val="22"/>
          <w:szCs w:val="22"/>
        </w:rPr>
        <w:t>承诺：</w:t>
      </w:r>
    </w:p>
    <w:p w14:paraId="75BA30D1">
      <w:pPr>
        <w:keepNext w:val="0"/>
        <w:keepLines w:val="0"/>
        <w:pageBreakBefore w:val="0"/>
        <w:widowControl/>
        <w:kinsoku/>
        <w:wordWrap/>
        <w:overflowPunct/>
        <w:topLinePunct w:val="0"/>
        <w:autoSpaceDE/>
        <w:autoSpaceDN/>
        <w:bidi w:val="0"/>
        <w:adjustRightInd/>
        <w:snapToGrid w:val="0"/>
        <w:spacing w:line="400" w:lineRule="exact"/>
        <w:ind w:firstLine="440" w:firstLineChars="200"/>
        <w:textAlignment w:val="baseline"/>
        <w:rPr>
          <w:rStyle w:val="15"/>
          <w:rFonts w:ascii="仿宋_GB2312" w:hAnsi="宋体" w:eastAsia="仿宋_GB2312"/>
          <w:sz w:val="22"/>
          <w:szCs w:val="22"/>
        </w:rPr>
      </w:pPr>
      <w:r>
        <w:rPr>
          <w:rStyle w:val="15"/>
          <w:rFonts w:hint="eastAsia" w:ascii="仿宋_GB2312" w:hAnsi="宋体" w:eastAsia="仿宋_GB2312"/>
          <w:sz w:val="22"/>
          <w:szCs w:val="22"/>
        </w:rPr>
        <w:t>在挂牌公告期间已自行对标的资产进行了全面了解，一经递交受让申请并交纳交易保证金后，即表明理解并接受本次资产转让的所有内容及程序，完全了解与认可转让标的状况以及存在的瑕疵等一切内容，并自行承担受让标的所带来的一切风险和后果；成为最终受让方后不得以不了解转让标的为由退还转让标的，否则将视为违约；非因转让方原因所引发的风险因素，由我方自行承担。</w:t>
      </w:r>
    </w:p>
    <w:p w14:paraId="6E0FBE30">
      <w:pPr>
        <w:keepNext w:val="0"/>
        <w:keepLines w:val="0"/>
        <w:pageBreakBefore w:val="0"/>
        <w:widowControl/>
        <w:kinsoku/>
        <w:wordWrap/>
        <w:overflowPunct/>
        <w:topLinePunct w:val="0"/>
        <w:autoSpaceDE/>
        <w:autoSpaceDN/>
        <w:bidi w:val="0"/>
        <w:adjustRightInd/>
        <w:snapToGrid w:val="0"/>
        <w:spacing w:line="400" w:lineRule="exact"/>
        <w:ind w:firstLine="440" w:firstLineChars="200"/>
        <w:textAlignment w:val="baseline"/>
        <w:rPr>
          <w:rStyle w:val="15"/>
          <w:rFonts w:ascii="仿宋_GB2312" w:hAnsi="宋体" w:eastAsia="仿宋_GB2312"/>
          <w:sz w:val="22"/>
          <w:szCs w:val="22"/>
        </w:rPr>
      </w:pPr>
      <w:r>
        <w:rPr>
          <w:rStyle w:val="15"/>
          <w:rFonts w:ascii="仿宋_GB2312" w:hAnsi="宋体" w:eastAsia="仿宋_GB2312"/>
          <w:sz w:val="22"/>
          <w:szCs w:val="22"/>
        </w:rPr>
        <w:t>3</w:t>
      </w:r>
      <w:r>
        <w:rPr>
          <w:rStyle w:val="15"/>
          <w:rFonts w:hint="eastAsia" w:ascii="仿宋_GB2312" w:hAnsi="宋体" w:eastAsia="仿宋_GB2312"/>
          <w:sz w:val="22"/>
          <w:szCs w:val="22"/>
          <w:lang w:eastAsia="zh-CN"/>
        </w:rPr>
        <w:t>、</w:t>
      </w:r>
      <w:r>
        <w:rPr>
          <w:rStyle w:val="15"/>
          <w:rFonts w:ascii="仿宋_GB2312" w:hAnsi="宋体" w:eastAsia="仿宋_GB2312"/>
          <w:sz w:val="22"/>
          <w:szCs w:val="22"/>
        </w:rPr>
        <w:t>乙方保证其具备从事甲方委托事项的所有资格及能力，其受托办理上述事项均已获得有权机构的批准或授权。</w:t>
      </w:r>
    </w:p>
    <w:p w14:paraId="3E1FF390">
      <w:pPr>
        <w:keepNext w:val="0"/>
        <w:keepLines w:val="0"/>
        <w:pageBreakBefore w:val="0"/>
        <w:widowControl/>
        <w:kinsoku/>
        <w:wordWrap/>
        <w:overflowPunct/>
        <w:topLinePunct w:val="0"/>
        <w:autoSpaceDE/>
        <w:autoSpaceDN/>
        <w:bidi w:val="0"/>
        <w:adjustRightInd/>
        <w:snapToGrid w:val="0"/>
        <w:spacing w:line="400" w:lineRule="exact"/>
        <w:ind w:firstLine="440" w:firstLineChars="200"/>
        <w:textAlignment w:val="baseline"/>
        <w:rPr>
          <w:rStyle w:val="15"/>
          <w:rFonts w:hint="eastAsia" w:ascii="仿宋_GB2312" w:hAnsi="宋体" w:eastAsia="仿宋_GB2312"/>
          <w:sz w:val="22"/>
          <w:szCs w:val="22"/>
          <w:lang w:val="en-US" w:eastAsia="zh-CN"/>
        </w:rPr>
      </w:pPr>
      <w:r>
        <w:rPr>
          <w:rStyle w:val="15"/>
          <w:rFonts w:ascii="仿宋_GB2312" w:hAnsi="宋体" w:eastAsia="仿宋_GB2312"/>
          <w:sz w:val="22"/>
          <w:szCs w:val="22"/>
        </w:rPr>
        <w:t>五、</w:t>
      </w:r>
      <w:r>
        <w:rPr>
          <w:rStyle w:val="15"/>
          <w:rFonts w:hint="eastAsia" w:ascii="仿宋_GB2312" w:hAnsi="宋体" w:eastAsia="仿宋_GB2312"/>
          <w:sz w:val="22"/>
          <w:szCs w:val="22"/>
          <w:lang w:val="en-US" w:eastAsia="zh-CN"/>
        </w:rPr>
        <w:t>服务费用收取</w:t>
      </w:r>
    </w:p>
    <w:p w14:paraId="67A6EB54">
      <w:pPr>
        <w:keepNext w:val="0"/>
        <w:keepLines w:val="0"/>
        <w:pageBreakBefore w:val="0"/>
        <w:widowControl/>
        <w:kinsoku/>
        <w:wordWrap/>
        <w:overflowPunct/>
        <w:topLinePunct w:val="0"/>
        <w:autoSpaceDE/>
        <w:autoSpaceDN/>
        <w:bidi w:val="0"/>
        <w:adjustRightInd/>
        <w:snapToGrid w:val="0"/>
        <w:spacing w:line="400" w:lineRule="exact"/>
        <w:ind w:firstLine="440" w:firstLineChars="200"/>
        <w:textAlignment w:val="baseline"/>
        <w:rPr>
          <w:rStyle w:val="15"/>
          <w:rFonts w:ascii="仿宋_GB2312" w:hAnsi="宋体" w:eastAsia="仿宋_GB2312"/>
          <w:sz w:val="22"/>
          <w:szCs w:val="22"/>
        </w:rPr>
      </w:pPr>
      <w:r>
        <w:rPr>
          <w:rStyle w:val="15"/>
          <w:rFonts w:hint="eastAsia" w:ascii="仿宋_GB2312" w:hAnsi="宋体" w:eastAsia="仿宋_GB2312"/>
          <w:sz w:val="22"/>
          <w:szCs w:val="22"/>
          <w:lang w:val="en-US"/>
        </w:rPr>
        <w:t>甲</w:t>
      </w:r>
      <w:r>
        <w:rPr>
          <w:rStyle w:val="15"/>
          <w:rFonts w:ascii="仿宋_GB2312" w:hAnsi="宋体" w:eastAsia="仿宋_GB2312"/>
          <w:sz w:val="22"/>
          <w:szCs w:val="22"/>
        </w:rPr>
        <w:t>方</w:t>
      </w:r>
      <w:r>
        <w:rPr>
          <w:rStyle w:val="15"/>
          <w:rFonts w:hint="eastAsia" w:ascii="仿宋_GB2312" w:hAnsi="宋体" w:eastAsia="仿宋_GB2312"/>
          <w:sz w:val="22"/>
          <w:szCs w:val="22"/>
        </w:rPr>
        <w:t>被确定为受让方后，应向乙方支付服务费</w:t>
      </w:r>
      <w:r>
        <w:rPr>
          <w:rStyle w:val="15"/>
          <w:rFonts w:hint="eastAsia" w:ascii="仿宋_GB2312" w:hAnsi="宋体" w:eastAsia="仿宋_GB2312"/>
          <w:sz w:val="22"/>
          <w:szCs w:val="22"/>
          <w:lang w:eastAsia="zh-CN"/>
        </w:rPr>
        <w:t>。</w:t>
      </w:r>
      <w:r>
        <w:rPr>
          <w:rFonts w:hint="eastAsia" w:ascii="仿宋" w:hAnsi="仿宋" w:eastAsia="仿宋" w:cs="仿宋"/>
          <w:color w:val="0000FF"/>
          <w:kern w:val="0"/>
          <w:sz w:val="21"/>
          <w:szCs w:val="21"/>
        </w:rPr>
        <w:t>按照成交价格</w:t>
      </w:r>
      <w:r>
        <w:rPr>
          <w:rFonts w:hint="eastAsia" w:ascii="仿宋" w:hAnsi="仿宋" w:eastAsia="仿宋" w:cs="仿宋"/>
          <w:color w:val="0000FF"/>
          <w:kern w:val="0"/>
          <w:sz w:val="21"/>
          <w:szCs w:val="21"/>
          <w:lang w:eastAsia="zh-CN"/>
        </w:rPr>
        <w:t>收取</w:t>
      </w:r>
      <w:r>
        <w:rPr>
          <w:rFonts w:hint="eastAsia" w:ascii="仿宋" w:hAnsi="仿宋" w:eastAsia="仿宋" w:cs="仿宋"/>
          <w:color w:val="0000FF"/>
          <w:kern w:val="0"/>
          <w:sz w:val="21"/>
          <w:szCs w:val="21"/>
          <w:lang w:val="en-US" w:eastAsia="zh-CN"/>
        </w:rPr>
        <w:t>1.4%</w:t>
      </w:r>
      <w:r>
        <w:rPr>
          <w:rFonts w:hint="eastAsia" w:ascii="仿宋" w:hAnsi="仿宋" w:eastAsia="仿宋" w:cs="仿宋"/>
          <w:color w:val="0000FF"/>
          <w:kern w:val="0"/>
          <w:sz w:val="21"/>
          <w:szCs w:val="21"/>
          <w:lang w:eastAsia="zh-CN"/>
        </w:rPr>
        <w:t>，</w:t>
      </w:r>
      <w:r>
        <w:rPr>
          <w:rStyle w:val="15"/>
          <w:rFonts w:hint="eastAsia" w:ascii="仿宋_GB2312" w:hAnsi="宋体" w:eastAsia="仿宋_GB2312"/>
          <w:sz w:val="22"/>
          <w:szCs w:val="22"/>
        </w:rPr>
        <w:t>甲方在</w:t>
      </w:r>
      <w:r>
        <w:rPr>
          <w:rStyle w:val="15"/>
          <w:rFonts w:hint="eastAsia" w:ascii="仿宋_GB2312" w:hAnsi="宋体" w:eastAsia="仿宋_GB2312"/>
          <w:sz w:val="22"/>
          <w:szCs w:val="22"/>
          <w:lang w:eastAsia="zh-CN"/>
        </w:rPr>
        <w:t>资产（</w:t>
      </w:r>
      <w:r>
        <w:rPr>
          <w:rStyle w:val="15"/>
          <w:rFonts w:hint="eastAsia" w:ascii="仿宋_GB2312" w:hAnsi="宋体" w:eastAsia="仿宋_GB2312"/>
          <w:sz w:val="22"/>
          <w:szCs w:val="22"/>
        </w:rPr>
        <w:t>产权</w:t>
      </w:r>
      <w:r>
        <w:rPr>
          <w:rStyle w:val="15"/>
          <w:rFonts w:hint="eastAsia" w:ascii="仿宋_GB2312" w:hAnsi="宋体" w:eastAsia="仿宋_GB2312"/>
          <w:sz w:val="22"/>
          <w:szCs w:val="22"/>
          <w:lang w:eastAsia="zh-CN"/>
        </w:rPr>
        <w:t>）</w:t>
      </w:r>
      <w:r>
        <w:rPr>
          <w:rStyle w:val="15"/>
          <w:rFonts w:hint="eastAsia" w:ascii="仿宋_GB2312" w:hAnsi="宋体" w:eastAsia="仿宋_GB2312"/>
          <w:sz w:val="22"/>
          <w:szCs w:val="22"/>
        </w:rPr>
        <w:t>交易合同签订后</w:t>
      </w:r>
      <w:r>
        <w:rPr>
          <w:rStyle w:val="15"/>
          <w:rFonts w:hint="eastAsia" w:ascii="仿宋_GB2312" w:hAnsi="宋体" w:eastAsia="仿宋_GB2312"/>
          <w:sz w:val="22"/>
          <w:szCs w:val="22"/>
          <w:lang w:val="en-US" w:eastAsia="zh-CN"/>
        </w:rPr>
        <w:t>3</w:t>
      </w:r>
      <w:r>
        <w:rPr>
          <w:rStyle w:val="15"/>
          <w:rFonts w:hint="eastAsia" w:ascii="仿宋_GB2312" w:hAnsi="宋体" w:eastAsia="仿宋_GB2312"/>
          <w:sz w:val="22"/>
          <w:szCs w:val="22"/>
        </w:rPr>
        <w:t>日内付清。</w:t>
      </w:r>
    </w:p>
    <w:p w14:paraId="7F59AB83">
      <w:pPr>
        <w:keepNext w:val="0"/>
        <w:keepLines w:val="0"/>
        <w:pageBreakBefore w:val="0"/>
        <w:widowControl/>
        <w:kinsoku/>
        <w:wordWrap/>
        <w:overflowPunct/>
        <w:topLinePunct w:val="0"/>
        <w:autoSpaceDE/>
        <w:autoSpaceDN/>
        <w:bidi w:val="0"/>
        <w:adjustRightInd/>
        <w:snapToGrid w:val="0"/>
        <w:spacing w:line="400" w:lineRule="exact"/>
        <w:ind w:firstLine="440" w:firstLineChars="200"/>
        <w:textAlignment w:val="baseline"/>
        <w:rPr>
          <w:rStyle w:val="15"/>
          <w:rFonts w:hint="eastAsia" w:ascii="仿宋_GB2312" w:hAnsi="宋体" w:eastAsia="仿宋_GB2312"/>
          <w:sz w:val="22"/>
          <w:szCs w:val="22"/>
        </w:rPr>
      </w:pPr>
      <w:r>
        <w:rPr>
          <w:rStyle w:val="15"/>
          <w:rFonts w:hint="eastAsia" w:ascii="仿宋_GB2312" w:hAnsi="宋体" w:eastAsia="仿宋_GB2312"/>
          <w:sz w:val="22"/>
          <w:szCs w:val="22"/>
          <w:lang w:val="en-US"/>
        </w:rPr>
        <w:t>六、</w:t>
      </w:r>
      <w:r>
        <w:rPr>
          <w:rStyle w:val="15"/>
          <w:rFonts w:hint="eastAsia" w:ascii="仿宋_GB2312" w:hAnsi="宋体" w:eastAsia="仿宋_GB2312"/>
          <w:sz w:val="22"/>
          <w:szCs w:val="22"/>
        </w:rPr>
        <w:t>因意向受让方如下行为产生的一切后果，</w:t>
      </w:r>
      <w:r>
        <w:rPr>
          <w:rStyle w:val="15"/>
          <w:rFonts w:hint="eastAsia" w:ascii="仿宋_GB2312" w:hAnsi="宋体" w:eastAsia="仿宋_GB2312"/>
          <w:sz w:val="22"/>
          <w:szCs w:val="22"/>
          <w:lang w:val="en-US" w:eastAsia="zh-CN"/>
        </w:rPr>
        <w:t>枣庄市公共资源国有产权交易有限公司</w:t>
      </w:r>
      <w:r>
        <w:rPr>
          <w:rStyle w:val="15"/>
          <w:rFonts w:hint="eastAsia" w:ascii="仿宋_GB2312" w:hAnsi="宋体" w:eastAsia="仿宋_GB2312"/>
          <w:sz w:val="22"/>
          <w:szCs w:val="22"/>
        </w:rPr>
        <w:t>不承担任何责任：</w:t>
      </w:r>
    </w:p>
    <w:p w14:paraId="10A1C843">
      <w:pPr>
        <w:keepNext w:val="0"/>
        <w:keepLines w:val="0"/>
        <w:pageBreakBefore w:val="0"/>
        <w:widowControl/>
        <w:kinsoku/>
        <w:wordWrap/>
        <w:overflowPunct/>
        <w:topLinePunct w:val="0"/>
        <w:autoSpaceDE/>
        <w:autoSpaceDN/>
        <w:bidi w:val="0"/>
        <w:adjustRightInd/>
        <w:snapToGrid w:val="0"/>
        <w:spacing w:line="400" w:lineRule="exact"/>
        <w:ind w:firstLine="440" w:firstLineChars="200"/>
        <w:textAlignment w:val="baseline"/>
        <w:rPr>
          <w:rStyle w:val="15"/>
          <w:rFonts w:hint="eastAsia" w:ascii="仿宋_GB2312" w:hAnsi="宋体" w:eastAsia="仿宋_GB2312"/>
          <w:sz w:val="22"/>
          <w:szCs w:val="22"/>
        </w:rPr>
      </w:pPr>
      <w:r>
        <w:rPr>
          <w:rStyle w:val="15"/>
          <w:rFonts w:hint="eastAsia" w:ascii="仿宋_GB2312" w:hAnsi="宋体" w:eastAsia="仿宋_GB2312"/>
          <w:sz w:val="22"/>
          <w:szCs w:val="22"/>
        </w:rPr>
        <w:t>1、未及时关注</w:t>
      </w:r>
      <w:r>
        <w:rPr>
          <w:rStyle w:val="15"/>
          <w:rFonts w:hint="eastAsia" w:ascii="仿宋_GB2312" w:hAnsi="宋体" w:eastAsia="仿宋_GB2312"/>
          <w:sz w:val="22"/>
          <w:szCs w:val="22"/>
          <w:lang w:val="en-US" w:eastAsia="zh-CN"/>
        </w:rPr>
        <w:t>枣庄市公共资源国有产权交易有限公司</w:t>
      </w:r>
      <w:r>
        <w:rPr>
          <w:rStyle w:val="15"/>
          <w:rFonts w:hint="eastAsia" w:ascii="仿宋_GB2312" w:hAnsi="宋体" w:eastAsia="仿宋_GB2312"/>
          <w:sz w:val="22"/>
          <w:szCs w:val="22"/>
        </w:rPr>
        <w:t>及网络竞价系统发布的动态报价活动相关信息的；</w:t>
      </w:r>
    </w:p>
    <w:p w14:paraId="2594F88C">
      <w:pPr>
        <w:keepNext w:val="0"/>
        <w:keepLines w:val="0"/>
        <w:pageBreakBefore w:val="0"/>
        <w:widowControl/>
        <w:kinsoku/>
        <w:wordWrap/>
        <w:overflowPunct/>
        <w:topLinePunct w:val="0"/>
        <w:autoSpaceDE/>
        <w:autoSpaceDN/>
        <w:bidi w:val="0"/>
        <w:adjustRightInd/>
        <w:snapToGrid w:val="0"/>
        <w:spacing w:line="400" w:lineRule="exact"/>
        <w:ind w:firstLine="440" w:firstLineChars="200"/>
        <w:textAlignment w:val="baseline"/>
        <w:rPr>
          <w:rStyle w:val="15"/>
          <w:rFonts w:hint="eastAsia" w:ascii="仿宋_GB2312" w:hAnsi="宋体" w:eastAsia="仿宋_GB2312"/>
          <w:sz w:val="22"/>
          <w:szCs w:val="22"/>
        </w:rPr>
      </w:pPr>
      <w:r>
        <w:rPr>
          <w:rStyle w:val="15"/>
          <w:rFonts w:hint="eastAsia" w:ascii="仿宋_GB2312" w:hAnsi="宋体" w:eastAsia="仿宋_GB2312"/>
          <w:sz w:val="22"/>
          <w:szCs w:val="22"/>
        </w:rPr>
        <w:t>2、由于意向受让方使用的终端设备和网络异常等原因导致无法正常报价的；</w:t>
      </w:r>
    </w:p>
    <w:p w14:paraId="6602BE03">
      <w:pPr>
        <w:keepNext w:val="0"/>
        <w:keepLines w:val="0"/>
        <w:pageBreakBefore w:val="0"/>
        <w:widowControl/>
        <w:kinsoku/>
        <w:wordWrap/>
        <w:overflowPunct/>
        <w:topLinePunct w:val="0"/>
        <w:autoSpaceDE/>
        <w:autoSpaceDN/>
        <w:bidi w:val="0"/>
        <w:adjustRightInd/>
        <w:snapToGrid w:val="0"/>
        <w:spacing w:line="400" w:lineRule="exact"/>
        <w:ind w:firstLine="440" w:firstLineChars="200"/>
        <w:textAlignment w:val="baseline"/>
        <w:rPr>
          <w:rStyle w:val="15"/>
          <w:rFonts w:hint="eastAsia" w:ascii="仿宋_GB2312" w:hAnsi="宋体" w:eastAsia="仿宋_GB2312"/>
          <w:sz w:val="22"/>
          <w:szCs w:val="22"/>
        </w:rPr>
      </w:pPr>
      <w:r>
        <w:rPr>
          <w:rStyle w:val="15"/>
          <w:rFonts w:hint="eastAsia" w:ascii="仿宋_GB2312" w:hAnsi="宋体" w:eastAsia="仿宋_GB2312"/>
          <w:sz w:val="22"/>
          <w:szCs w:val="22"/>
        </w:rPr>
        <w:t>3、网络竞价活动的时间以网络竞价系统服务器时间为准。由于意向受让方使用的终端设备时间与动态报价系统服务器时间不符而导致未按时参与报价的。</w:t>
      </w:r>
    </w:p>
    <w:p w14:paraId="433BBD4D">
      <w:pPr>
        <w:keepNext w:val="0"/>
        <w:keepLines w:val="0"/>
        <w:pageBreakBefore w:val="0"/>
        <w:widowControl/>
        <w:kinsoku/>
        <w:wordWrap/>
        <w:overflowPunct/>
        <w:topLinePunct w:val="0"/>
        <w:autoSpaceDE/>
        <w:autoSpaceDN/>
        <w:bidi w:val="0"/>
        <w:adjustRightInd/>
        <w:snapToGrid w:val="0"/>
        <w:spacing w:line="400" w:lineRule="exact"/>
        <w:ind w:firstLine="440" w:firstLineChars="200"/>
        <w:textAlignment w:val="baseline"/>
        <w:rPr>
          <w:rStyle w:val="15"/>
          <w:rFonts w:hint="eastAsia" w:ascii="仿宋_GB2312" w:hAnsi="宋体" w:eastAsia="仿宋_GB2312"/>
          <w:sz w:val="22"/>
          <w:szCs w:val="22"/>
        </w:rPr>
      </w:pPr>
      <w:r>
        <w:rPr>
          <w:rStyle w:val="15"/>
          <w:rFonts w:hint="eastAsia" w:ascii="仿宋_GB2312" w:hAnsi="宋体" w:eastAsia="仿宋_GB2312"/>
          <w:sz w:val="22"/>
          <w:szCs w:val="22"/>
        </w:rPr>
        <w:t>十七、网络竞价系统因不可抗力、软硬件故障、非法入侵、恶意攻击等原因而导致系统异常、竞价活动中断的，</w:t>
      </w:r>
      <w:r>
        <w:rPr>
          <w:rStyle w:val="15"/>
          <w:rFonts w:hint="eastAsia" w:ascii="仿宋_GB2312" w:hAnsi="宋体" w:eastAsia="仿宋_GB2312"/>
          <w:sz w:val="22"/>
          <w:szCs w:val="22"/>
          <w:lang w:val="en-US" w:eastAsia="zh-CN"/>
        </w:rPr>
        <w:t>枣庄市公共资源国有产权交易有限公司</w:t>
      </w:r>
      <w:r>
        <w:rPr>
          <w:rStyle w:val="15"/>
          <w:rFonts w:hint="eastAsia" w:ascii="仿宋_GB2312" w:hAnsi="宋体" w:eastAsia="仿宋_GB2312"/>
          <w:sz w:val="22"/>
          <w:szCs w:val="22"/>
        </w:rPr>
        <w:t>不承担任何责任。中心将视情况组织继续报价或重新报价，并通过</w:t>
      </w:r>
      <w:r>
        <w:rPr>
          <w:rStyle w:val="15"/>
          <w:rFonts w:hint="eastAsia" w:ascii="仿宋_GB2312" w:hAnsi="宋体" w:eastAsia="仿宋_GB2312"/>
          <w:sz w:val="22"/>
          <w:szCs w:val="22"/>
          <w:lang w:val="en-US" w:eastAsia="zh-CN"/>
        </w:rPr>
        <w:t>枣庄市公共资源国有产权交易有限公司</w:t>
      </w:r>
      <w:r>
        <w:rPr>
          <w:rStyle w:val="15"/>
          <w:rFonts w:hint="eastAsia" w:ascii="仿宋_GB2312" w:hAnsi="宋体" w:eastAsia="仿宋_GB2312"/>
          <w:sz w:val="22"/>
          <w:szCs w:val="22"/>
        </w:rPr>
        <w:t>网站通知各意向受让方。继续报价或重新报价的方式如下：</w:t>
      </w:r>
    </w:p>
    <w:p w14:paraId="047D1B69">
      <w:pPr>
        <w:keepNext w:val="0"/>
        <w:keepLines w:val="0"/>
        <w:pageBreakBefore w:val="0"/>
        <w:widowControl/>
        <w:kinsoku/>
        <w:wordWrap/>
        <w:overflowPunct/>
        <w:topLinePunct w:val="0"/>
        <w:autoSpaceDE/>
        <w:autoSpaceDN/>
        <w:bidi w:val="0"/>
        <w:adjustRightInd/>
        <w:snapToGrid w:val="0"/>
        <w:spacing w:line="400" w:lineRule="exact"/>
        <w:ind w:firstLine="440" w:firstLineChars="200"/>
        <w:textAlignment w:val="baseline"/>
        <w:rPr>
          <w:rStyle w:val="15"/>
          <w:rFonts w:hint="eastAsia" w:ascii="仿宋_GB2312" w:hAnsi="宋体" w:eastAsia="仿宋_GB2312"/>
          <w:sz w:val="22"/>
          <w:szCs w:val="22"/>
        </w:rPr>
      </w:pPr>
      <w:r>
        <w:rPr>
          <w:rStyle w:val="15"/>
          <w:rFonts w:hint="eastAsia" w:ascii="仿宋_GB2312" w:hAnsi="宋体" w:eastAsia="仿宋_GB2312"/>
          <w:sz w:val="22"/>
          <w:szCs w:val="22"/>
        </w:rPr>
        <w:t>报价记录可以恢复的，以中断时的最高有效报价为起始价继续报价；报价记录无法恢复的，以转让底价为起始价重新报价。</w:t>
      </w:r>
    </w:p>
    <w:p w14:paraId="1C672475">
      <w:pPr>
        <w:keepNext w:val="0"/>
        <w:keepLines w:val="0"/>
        <w:pageBreakBefore w:val="0"/>
        <w:widowControl/>
        <w:kinsoku/>
        <w:wordWrap/>
        <w:overflowPunct/>
        <w:topLinePunct w:val="0"/>
        <w:autoSpaceDE/>
        <w:autoSpaceDN/>
        <w:bidi w:val="0"/>
        <w:adjustRightInd/>
        <w:snapToGrid w:val="0"/>
        <w:spacing w:line="400" w:lineRule="exact"/>
        <w:ind w:firstLine="440" w:firstLineChars="200"/>
        <w:textAlignment w:val="baseline"/>
        <w:rPr>
          <w:rStyle w:val="15"/>
          <w:rFonts w:ascii="仿宋_GB2312" w:hAnsi="宋体" w:eastAsia="仿宋_GB2312"/>
          <w:sz w:val="22"/>
          <w:szCs w:val="22"/>
        </w:rPr>
      </w:pPr>
      <w:r>
        <w:rPr>
          <w:rStyle w:val="15"/>
          <w:rFonts w:hint="eastAsia" w:ascii="仿宋_GB2312" w:hAnsi="宋体" w:eastAsia="仿宋_GB2312"/>
          <w:sz w:val="22"/>
          <w:szCs w:val="22"/>
          <w:lang w:val="en-US"/>
        </w:rPr>
        <w:t>七</w:t>
      </w:r>
      <w:r>
        <w:rPr>
          <w:rStyle w:val="15"/>
          <w:rFonts w:ascii="仿宋_GB2312" w:hAnsi="宋体" w:eastAsia="仿宋_GB2312"/>
          <w:sz w:val="22"/>
          <w:szCs w:val="22"/>
        </w:rPr>
        <w:t>、违约责任</w:t>
      </w:r>
      <w:r>
        <w:rPr>
          <w:rStyle w:val="15"/>
          <w:rFonts w:hint="eastAsia" w:ascii="仿宋_GB2312" w:hAnsi="宋体" w:eastAsia="仿宋_GB2312"/>
          <w:sz w:val="22"/>
          <w:szCs w:val="22"/>
          <w:lang w:val="en-US" w:eastAsia="zh-CN"/>
        </w:rPr>
        <w:t>及</w:t>
      </w:r>
      <w:r>
        <w:rPr>
          <w:rStyle w:val="15"/>
          <w:rFonts w:ascii="仿宋_GB2312" w:hAnsi="宋体" w:eastAsia="仿宋_GB2312"/>
          <w:sz w:val="22"/>
          <w:szCs w:val="22"/>
        </w:rPr>
        <w:t>其他内容</w:t>
      </w:r>
    </w:p>
    <w:p w14:paraId="7E6C73E6">
      <w:pPr>
        <w:keepNext w:val="0"/>
        <w:keepLines w:val="0"/>
        <w:pageBreakBefore w:val="0"/>
        <w:widowControl/>
        <w:kinsoku/>
        <w:wordWrap/>
        <w:overflowPunct/>
        <w:topLinePunct w:val="0"/>
        <w:autoSpaceDE/>
        <w:autoSpaceDN/>
        <w:bidi w:val="0"/>
        <w:adjustRightInd/>
        <w:snapToGrid w:val="0"/>
        <w:spacing w:line="400" w:lineRule="exact"/>
        <w:ind w:firstLine="440" w:firstLineChars="200"/>
        <w:textAlignment w:val="baseline"/>
        <w:rPr>
          <w:rStyle w:val="15"/>
          <w:rFonts w:ascii="仿宋_GB2312" w:hAnsi="宋体" w:eastAsia="仿宋_GB2312"/>
          <w:sz w:val="22"/>
          <w:szCs w:val="22"/>
        </w:rPr>
      </w:pPr>
      <w:r>
        <w:rPr>
          <w:rStyle w:val="15"/>
          <w:rFonts w:ascii="仿宋_GB2312" w:hAnsi="宋体" w:eastAsia="仿宋_GB2312"/>
          <w:sz w:val="22"/>
          <w:szCs w:val="22"/>
        </w:rPr>
        <w:t>1</w:t>
      </w:r>
      <w:r>
        <w:rPr>
          <w:rStyle w:val="15"/>
          <w:rFonts w:hint="eastAsia" w:ascii="仿宋_GB2312" w:hAnsi="宋体" w:eastAsia="仿宋_GB2312"/>
          <w:sz w:val="22"/>
          <w:szCs w:val="22"/>
          <w:lang w:eastAsia="zh-CN"/>
        </w:rPr>
        <w:t>、</w:t>
      </w:r>
      <w:r>
        <w:rPr>
          <w:rStyle w:val="15"/>
          <w:rFonts w:ascii="仿宋_GB2312" w:hAnsi="宋体" w:eastAsia="仿宋_GB2312"/>
          <w:sz w:val="22"/>
          <w:szCs w:val="22"/>
        </w:rPr>
        <w:t>甲乙双方应严格遵守《山东省企业国有产权交易规则》，遵守本合同约定。若违反交易规则和本合同，违约方应承担法律责任。</w:t>
      </w:r>
    </w:p>
    <w:p w14:paraId="42E753C2">
      <w:pPr>
        <w:keepNext w:val="0"/>
        <w:keepLines w:val="0"/>
        <w:pageBreakBefore w:val="0"/>
        <w:widowControl/>
        <w:kinsoku/>
        <w:wordWrap/>
        <w:overflowPunct/>
        <w:topLinePunct w:val="0"/>
        <w:autoSpaceDE/>
        <w:autoSpaceDN/>
        <w:bidi w:val="0"/>
        <w:adjustRightInd/>
        <w:snapToGrid w:val="0"/>
        <w:spacing w:line="400" w:lineRule="exact"/>
        <w:ind w:firstLine="440" w:firstLineChars="200"/>
        <w:textAlignment w:val="baseline"/>
        <w:rPr>
          <w:rStyle w:val="15"/>
          <w:rFonts w:ascii="仿宋_GB2312" w:hAnsi="宋体" w:eastAsia="仿宋_GB2312"/>
          <w:sz w:val="22"/>
          <w:szCs w:val="22"/>
        </w:rPr>
      </w:pPr>
      <w:r>
        <w:rPr>
          <w:rStyle w:val="15"/>
          <w:rFonts w:ascii="仿宋_GB2312" w:hAnsi="宋体" w:eastAsia="仿宋_GB2312"/>
          <w:sz w:val="22"/>
          <w:szCs w:val="22"/>
        </w:rPr>
        <w:t>2</w:t>
      </w:r>
      <w:r>
        <w:rPr>
          <w:rStyle w:val="15"/>
          <w:rFonts w:hint="eastAsia" w:ascii="仿宋_GB2312" w:hAnsi="宋体" w:eastAsia="仿宋_GB2312"/>
          <w:sz w:val="22"/>
          <w:szCs w:val="22"/>
          <w:lang w:eastAsia="zh-CN"/>
        </w:rPr>
        <w:t>、</w:t>
      </w:r>
      <w:r>
        <w:rPr>
          <w:rStyle w:val="15"/>
          <w:rFonts w:ascii="仿宋_GB2312" w:hAnsi="宋体" w:eastAsia="仿宋_GB2312"/>
          <w:sz w:val="22"/>
          <w:szCs w:val="22"/>
        </w:rPr>
        <w:t>甲乙任何一方违反本合同的约定，给对方造成损失的，应由违约方承担赔偿责任。</w:t>
      </w:r>
    </w:p>
    <w:p w14:paraId="5FBBD82A">
      <w:pPr>
        <w:keepNext w:val="0"/>
        <w:keepLines w:val="0"/>
        <w:pageBreakBefore w:val="0"/>
        <w:widowControl/>
        <w:kinsoku/>
        <w:wordWrap/>
        <w:overflowPunct/>
        <w:topLinePunct w:val="0"/>
        <w:autoSpaceDE/>
        <w:autoSpaceDN/>
        <w:bidi w:val="0"/>
        <w:adjustRightInd/>
        <w:snapToGrid w:val="0"/>
        <w:spacing w:line="400" w:lineRule="exact"/>
        <w:ind w:firstLine="440" w:firstLineChars="200"/>
        <w:textAlignment w:val="baseline"/>
        <w:rPr>
          <w:rStyle w:val="15"/>
          <w:rFonts w:ascii="仿宋_GB2312" w:hAnsi="宋体" w:eastAsia="仿宋_GB2312"/>
          <w:sz w:val="22"/>
          <w:szCs w:val="22"/>
        </w:rPr>
      </w:pPr>
      <w:r>
        <w:rPr>
          <w:rStyle w:val="15"/>
          <w:rFonts w:hint="eastAsia" w:ascii="仿宋_GB2312" w:hAnsi="宋体" w:eastAsia="仿宋_GB2312"/>
          <w:sz w:val="22"/>
          <w:szCs w:val="22"/>
          <w:lang w:val="en-US" w:eastAsia="zh-CN"/>
        </w:rPr>
        <w:t>3、</w:t>
      </w:r>
      <w:r>
        <w:rPr>
          <w:rStyle w:val="15"/>
          <w:rFonts w:ascii="仿宋_GB2312" w:hAnsi="宋体" w:eastAsia="仿宋_GB2312"/>
          <w:sz w:val="22"/>
          <w:szCs w:val="22"/>
        </w:rPr>
        <w:t>本合同项下的任何修改、补充或解除，均应采取书面形式。</w:t>
      </w:r>
    </w:p>
    <w:p w14:paraId="702EF1F4">
      <w:pPr>
        <w:keepNext w:val="0"/>
        <w:keepLines w:val="0"/>
        <w:pageBreakBefore w:val="0"/>
        <w:widowControl/>
        <w:kinsoku/>
        <w:wordWrap/>
        <w:overflowPunct/>
        <w:topLinePunct w:val="0"/>
        <w:autoSpaceDE/>
        <w:autoSpaceDN/>
        <w:bidi w:val="0"/>
        <w:adjustRightInd/>
        <w:snapToGrid w:val="0"/>
        <w:spacing w:line="400" w:lineRule="exact"/>
        <w:ind w:firstLine="440" w:firstLineChars="200"/>
        <w:textAlignment w:val="baseline"/>
        <w:rPr>
          <w:rStyle w:val="15"/>
          <w:rFonts w:ascii="仿宋_GB2312" w:hAnsi="宋体" w:eastAsia="仿宋_GB2312"/>
          <w:sz w:val="22"/>
          <w:szCs w:val="22"/>
        </w:rPr>
      </w:pPr>
      <w:r>
        <w:rPr>
          <w:rStyle w:val="15"/>
          <w:rFonts w:hint="eastAsia" w:ascii="仿宋_GB2312" w:hAnsi="宋体" w:eastAsia="仿宋_GB2312"/>
          <w:sz w:val="22"/>
          <w:szCs w:val="22"/>
          <w:lang w:val="en-US" w:eastAsia="zh-CN"/>
        </w:rPr>
        <w:t>4、</w:t>
      </w:r>
      <w:r>
        <w:rPr>
          <w:rStyle w:val="15"/>
          <w:rFonts w:ascii="仿宋_GB2312" w:hAnsi="宋体" w:eastAsia="仿宋_GB2312"/>
          <w:sz w:val="22"/>
          <w:szCs w:val="22"/>
        </w:rPr>
        <w:t>本合同壹式</w:t>
      </w:r>
      <w:r>
        <w:rPr>
          <w:rStyle w:val="15"/>
          <w:rFonts w:hint="eastAsia" w:ascii="仿宋_GB2312" w:hAnsi="宋体" w:eastAsia="仿宋_GB2312"/>
          <w:sz w:val="22"/>
          <w:szCs w:val="22"/>
        </w:rPr>
        <w:t>贰</w:t>
      </w:r>
      <w:r>
        <w:rPr>
          <w:rStyle w:val="15"/>
          <w:rFonts w:ascii="仿宋_GB2312" w:hAnsi="宋体" w:eastAsia="仿宋_GB2312"/>
          <w:sz w:val="22"/>
          <w:szCs w:val="22"/>
        </w:rPr>
        <w:t>份，甲乙双方各执</w:t>
      </w:r>
      <w:r>
        <w:rPr>
          <w:rStyle w:val="15"/>
          <w:rFonts w:hint="eastAsia" w:ascii="仿宋_GB2312" w:hAnsi="宋体" w:eastAsia="仿宋_GB2312"/>
          <w:sz w:val="22"/>
          <w:szCs w:val="22"/>
          <w:lang w:val="en-US" w:eastAsia="zh-CN"/>
        </w:rPr>
        <w:t>壹</w:t>
      </w:r>
      <w:r>
        <w:rPr>
          <w:rStyle w:val="15"/>
          <w:rFonts w:ascii="仿宋_GB2312" w:hAnsi="宋体" w:eastAsia="仿宋_GB2312"/>
          <w:sz w:val="22"/>
          <w:szCs w:val="22"/>
        </w:rPr>
        <w:t>份。</w:t>
      </w:r>
    </w:p>
    <w:p w14:paraId="1F9F05D4">
      <w:pPr>
        <w:keepNext w:val="0"/>
        <w:keepLines w:val="0"/>
        <w:pageBreakBefore w:val="0"/>
        <w:widowControl/>
        <w:kinsoku/>
        <w:wordWrap/>
        <w:overflowPunct/>
        <w:topLinePunct w:val="0"/>
        <w:autoSpaceDE/>
        <w:autoSpaceDN/>
        <w:bidi w:val="0"/>
        <w:adjustRightInd/>
        <w:snapToGrid w:val="0"/>
        <w:spacing w:line="400" w:lineRule="exact"/>
        <w:textAlignment w:val="baseline"/>
        <w:rPr>
          <w:rStyle w:val="15"/>
          <w:rFonts w:ascii="仿宋_GB2312" w:hAnsi="宋体" w:eastAsia="仿宋_GB2312"/>
          <w:sz w:val="22"/>
          <w:szCs w:val="22"/>
        </w:rPr>
      </w:pPr>
    </w:p>
    <w:p w14:paraId="41B2E377">
      <w:pPr>
        <w:keepNext w:val="0"/>
        <w:keepLines w:val="0"/>
        <w:pageBreakBefore w:val="0"/>
        <w:widowControl/>
        <w:kinsoku/>
        <w:wordWrap/>
        <w:overflowPunct/>
        <w:topLinePunct w:val="0"/>
        <w:autoSpaceDE/>
        <w:autoSpaceDN/>
        <w:bidi w:val="0"/>
        <w:adjustRightInd/>
        <w:snapToGrid w:val="0"/>
        <w:spacing w:line="400" w:lineRule="exact"/>
        <w:ind w:firstLine="440" w:firstLineChars="200"/>
        <w:textAlignment w:val="baseline"/>
        <w:rPr>
          <w:rStyle w:val="15"/>
          <w:rFonts w:ascii="仿宋_GB2312" w:hAnsi="宋体" w:eastAsia="仿宋_GB2312"/>
          <w:sz w:val="22"/>
          <w:szCs w:val="22"/>
        </w:rPr>
      </w:pPr>
      <w:r>
        <w:rPr>
          <w:rStyle w:val="15"/>
          <w:rFonts w:hint="eastAsia" w:ascii="仿宋_GB2312" w:hAnsi="宋体" w:eastAsia="仿宋_GB2312"/>
          <w:sz w:val="22"/>
          <w:szCs w:val="22"/>
          <w:lang w:val="en-US" w:eastAsia="zh-CN"/>
        </w:rPr>
        <w:t>购买方</w:t>
      </w:r>
      <w:r>
        <w:rPr>
          <w:rStyle w:val="15"/>
          <w:rFonts w:ascii="仿宋_GB2312" w:hAnsi="宋体" w:eastAsia="仿宋_GB2312"/>
          <w:sz w:val="22"/>
          <w:szCs w:val="22"/>
        </w:rPr>
        <w:t>（盖章）：                  受托方（盖章）：</w:t>
      </w:r>
    </w:p>
    <w:p w14:paraId="5E5C889C">
      <w:pPr>
        <w:keepNext w:val="0"/>
        <w:keepLines w:val="0"/>
        <w:pageBreakBefore w:val="0"/>
        <w:widowControl/>
        <w:kinsoku/>
        <w:wordWrap/>
        <w:overflowPunct/>
        <w:topLinePunct w:val="0"/>
        <w:autoSpaceDE/>
        <w:autoSpaceDN/>
        <w:bidi w:val="0"/>
        <w:adjustRightInd/>
        <w:snapToGrid w:val="0"/>
        <w:spacing w:line="400" w:lineRule="exact"/>
        <w:textAlignment w:val="baseline"/>
        <w:rPr>
          <w:rStyle w:val="15"/>
          <w:rFonts w:ascii="仿宋_GB2312" w:hAnsi="宋体" w:eastAsia="仿宋_GB2312"/>
          <w:sz w:val="22"/>
          <w:szCs w:val="22"/>
        </w:rPr>
      </w:pPr>
    </w:p>
    <w:p w14:paraId="6B5E953C">
      <w:pPr>
        <w:keepNext w:val="0"/>
        <w:keepLines w:val="0"/>
        <w:pageBreakBefore w:val="0"/>
        <w:widowControl/>
        <w:kinsoku/>
        <w:wordWrap/>
        <w:overflowPunct/>
        <w:topLinePunct w:val="0"/>
        <w:autoSpaceDE/>
        <w:autoSpaceDN/>
        <w:bidi w:val="0"/>
        <w:adjustRightInd/>
        <w:snapToGrid w:val="0"/>
        <w:spacing w:line="400" w:lineRule="exact"/>
        <w:ind w:firstLine="440" w:firstLineChars="200"/>
        <w:textAlignment w:val="baseline"/>
        <w:rPr>
          <w:rStyle w:val="15"/>
          <w:rFonts w:ascii="仿宋_GB2312" w:hAnsi="宋体" w:eastAsia="仿宋_GB2312"/>
          <w:sz w:val="22"/>
          <w:szCs w:val="22"/>
        </w:rPr>
      </w:pPr>
      <w:r>
        <w:rPr>
          <w:rStyle w:val="15"/>
          <w:rFonts w:ascii="仿宋_GB2312" w:hAnsi="宋体" w:eastAsia="仿宋_GB2312"/>
          <w:sz w:val="22"/>
          <w:szCs w:val="22"/>
        </w:rPr>
        <w:t>授权委托人签字：                 授权委托人签字：</w:t>
      </w:r>
    </w:p>
    <w:p w14:paraId="2C885FCF">
      <w:pPr>
        <w:keepNext w:val="0"/>
        <w:keepLines w:val="0"/>
        <w:pageBreakBefore w:val="0"/>
        <w:widowControl/>
        <w:kinsoku/>
        <w:wordWrap/>
        <w:overflowPunct/>
        <w:topLinePunct w:val="0"/>
        <w:autoSpaceDE/>
        <w:autoSpaceDN/>
        <w:bidi w:val="0"/>
        <w:adjustRightInd/>
        <w:snapToGrid w:val="0"/>
        <w:spacing w:line="400" w:lineRule="exact"/>
        <w:textAlignment w:val="baseline"/>
        <w:rPr>
          <w:rStyle w:val="15"/>
          <w:rFonts w:ascii="仿宋_GB2312" w:hAnsi="宋体" w:eastAsia="仿宋_GB2312"/>
          <w:sz w:val="22"/>
          <w:szCs w:val="22"/>
        </w:rPr>
      </w:pPr>
    </w:p>
    <w:p w14:paraId="7BFCE474">
      <w:pPr>
        <w:keepNext w:val="0"/>
        <w:keepLines w:val="0"/>
        <w:pageBreakBefore w:val="0"/>
        <w:widowControl/>
        <w:kinsoku/>
        <w:wordWrap/>
        <w:overflowPunct/>
        <w:topLinePunct w:val="0"/>
        <w:autoSpaceDE/>
        <w:autoSpaceDN/>
        <w:bidi w:val="0"/>
        <w:adjustRightInd/>
        <w:snapToGrid w:val="0"/>
        <w:spacing w:line="400" w:lineRule="exact"/>
        <w:ind w:firstLine="440" w:firstLineChars="200"/>
        <w:textAlignment w:val="baseline"/>
        <w:rPr>
          <w:rStyle w:val="15"/>
          <w:rFonts w:ascii="仿宋_GB2312" w:hAnsi="宋体" w:eastAsia="仿宋_GB2312"/>
          <w:sz w:val="22"/>
          <w:szCs w:val="22"/>
        </w:rPr>
      </w:pPr>
      <w:r>
        <w:rPr>
          <w:rStyle w:val="15"/>
          <w:rFonts w:ascii="仿宋_GB2312" w:hAnsi="宋体" w:eastAsia="仿宋_GB2312"/>
          <w:sz w:val="22"/>
          <w:szCs w:val="22"/>
        </w:rPr>
        <w:t xml:space="preserve">年  月   日               </w:t>
      </w:r>
      <w:r>
        <w:rPr>
          <w:rStyle w:val="15"/>
          <w:rFonts w:hint="eastAsia" w:ascii="仿宋_GB2312" w:hAnsi="宋体" w:eastAsia="仿宋_GB2312"/>
          <w:sz w:val="22"/>
          <w:szCs w:val="22"/>
          <w:lang w:val="en-US" w:eastAsia="zh-CN"/>
        </w:rPr>
        <w:t xml:space="preserve">       </w:t>
      </w:r>
      <w:r>
        <w:rPr>
          <w:rStyle w:val="15"/>
          <w:rFonts w:ascii="仿宋_GB2312" w:hAnsi="宋体" w:eastAsia="仿宋_GB2312"/>
          <w:sz w:val="22"/>
          <w:szCs w:val="22"/>
        </w:rPr>
        <w:t xml:space="preserve">年  月 </w:t>
      </w:r>
      <w:r>
        <w:rPr>
          <w:rStyle w:val="15"/>
          <w:rFonts w:hint="eastAsia" w:ascii="仿宋_GB2312" w:hAnsi="宋体" w:eastAsia="仿宋_GB2312"/>
          <w:sz w:val="22"/>
          <w:szCs w:val="22"/>
          <w:lang w:val="en-US"/>
        </w:rPr>
        <w:t xml:space="preserve">  </w:t>
      </w:r>
      <w:r>
        <w:rPr>
          <w:rStyle w:val="15"/>
          <w:rFonts w:ascii="仿宋_GB2312" w:hAnsi="宋体" w:eastAsia="仿宋_GB2312"/>
          <w:sz w:val="22"/>
          <w:szCs w:val="22"/>
        </w:rPr>
        <w:t>日</w:t>
      </w:r>
    </w:p>
    <w:p w14:paraId="628E3CA0">
      <w:pPr>
        <w:keepNext w:val="0"/>
        <w:keepLines w:val="0"/>
        <w:pageBreakBefore w:val="0"/>
        <w:kinsoku/>
        <w:wordWrap/>
        <w:overflowPunct/>
        <w:topLinePunct w:val="0"/>
        <w:autoSpaceDE/>
        <w:autoSpaceDN/>
        <w:bidi w:val="0"/>
        <w:adjustRightInd/>
        <w:spacing w:line="400" w:lineRule="exact"/>
        <w:ind w:firstLine="1928" w:firstLineChars="600"/>
        <w:rPr>
          <w:rFonts w:hint="eastAsia"/>
          <w:b/>
          <w:bCs/>
          <w:sz w:val="32"/>
          <w:szCs w:val="32"/>
          <w:lang w:val="en-US" w:eastAsia="zh-CN"/>
        </w:rPr>
      </w:pPr>
    </w:p>
    <w:p w14:paraId="4A70193E">
      <w:pPr>
        <w:keepNext w:val="0"/>
        <w:keepLines w:val="0"/>
        <w:pageBreakBefore w:val="0"/>
        <w:widowControl/>
        <w:kinsoku/>
        <w:wordWrap/>
        <w:overflowPunct/>
        <w:topLinePunct w:val="0"/>
        <w:autoSpaceDE/>
        <w:autoSpaceDN/>
        <w:bidi w:val="0"/>
        <w:adjustRightInd w:val="0"/>
        <w:snapToGrid w:val="0"/>
        <w:spacing w:line="560" w:lineRule="exact"/>
        <w:ind w:right="-187" w:rightChars="-89"/>
        <w:jc w:val="both"/>
        <w:textAlignment w:val="auto"/>
        <w:rPr>
          <w:rFonts w:hint="eastAsia"/>
          <w:sz w:val="36"/>
          <w:szCs w:val="36"/>
          <w:lang w:val="en-US" w:eastAsia="zh-CN"/>
        </w:rPr>
      </w:pPr>
    </w:p>
    <w:p w14:paraId="2DEDC9BD">
      <w:pPr>
        <w:keepNext w:val="0"/>
        <w:keepLines w:val="0"/>
        <w:pageBreakBefore w:val="0"/>
        <w:widowControl/>
        <w:kinsoku/>
        <w:wordWrap/>
        <w:overflowPunct/>
        <w:topLinePunct w:val="0"/>
        <w:autoSpaceDE/>
        <w:autoSpaceDN/>
        <w:bidi w:val="0"/>
        <w:snapToGrid w:val="0"/>
        <w:spacing w:line="440" w:lineRule="exact"/>
        <w:ind w:firstLine="420" w:firstLineChars="200"/>
        <w:jc w:val="left"/>
        <w:textAlignment w:val="auto"/>
        <w:rPr>
          <w:rFonts w:hint="eastAsia" w:ascii="仿宋" w:hAnsi="仿宋" w:eastAsia="仿宋" w:cs="仿宋"/>
          <w:color w:val="4472C4" w:themeColor="accent5"/>
          <w:kern w:val="0"/>
          <w:sz w:val="21"/>
          <w:szCs w:val="21"/>
          <w14:textFill>
            <w14:solidFill>
              <w14:schemeClr w14:val="accent5"/>
            </w14:solidFill>
          </w14:textFill>
        </w:rPr>
      </w:pPr>
      <w:r>
        <w:rPr>
          <w:rFonts w:hint="eastAsia" w:ascii="仿宋" w:hAnsi="仿宋" w:eastAsia="仿宋" w:cs="仿宋"/>
          <w:color w:val="4472C4" w:themeColor="accent5"/>
          <w:kern w:val="0"/>
          <w:sz w:val="21"/>
          <w:szCs w:val="21"/>
          <w:lang w:val="en-US" w:eastAsia="zh-CN"/>
          <w14:textFill>
            <w14:solidFill>
              <w14:schemeClr w14:val="accent5"/>
            </w14:solidFill>
          </w14:textFill>
        </w:rPr>
        <w:t>我已请认真阅读</w:t>
      </w:r>
      <w:r>
        <w:rPr>
          <w:rFonts w:hint="eastAsia" w:ascii="仿宋" w:hAnsi="仿宋" w:eastAsia="仿宋" w:cs="仿宋"/>
          <w:color w:val="4472C4" w:themeColor="accent5"/>
          <w:kern w:val="0"/>
          <w:sz w:val="21"/>
          <w:szCs w:val="21"/>
          <w:lang w:val="en-US" w:eastAsia="zh-CN"/>
          <w14:textFill>
            <w14:solidFill>
              <w14:schemeClr w14:val="accent5"/>
            </w14:solidFill>
          </w14:textFill>
        </w:rPr>
        <w:fldChar w:fldCharType="begin"/>
      </w:r>
      <w:r>
        <w:rPr>
          <w:rFonts w:hint="eastAsia" w:ascii="仿宋" w:hAnsi="仿宋" w:eastAsia="仿宋" w:cs="仿宋"/>
          <w:color w:val="4472C4" w:themeColor="accent5"/>
          <w:kern w:val="0"/>
          <w:sz w:val="21"/>
          <w:szCs w:val="21"/>
          <w:lang w:val="en-US" w:eastAsia="zh-CN"/>
          <w14:textFill>
            <w14:solidFill>
              <w14:schemeClr w14:val="accent5"/>
            </w14:solidFill>
          </w14:textFill>
        </w:rPr>
        <w:instrText xml:space="preserve"> HYPERLINK "http://fileview.dscq.com:8012/onlinePreview?url=group1/2024/05/1792466037452754946.pdf" \t "https://www.swuee.com/" \l "/projectDetail/_blank" </w:instrText>
      </w:r>
      <w:r>
        <w:rPr>
          <w:rFonts w:hint="eastAsia" w:ascii="仿宋" w:hAnsi="仿宋" w:eastAsia="仿宋" w:cs="仿宋"/>
          <w:color w:val="4472C4" w:themeColor="accent5"/>
          <w:kern w:val="0"/>
          <w:sz w:val="21"/>
          <w:szCs w:val="21"/>
          <w:lang w:val="en-US" w:eastAsia="zh-CN"/>
          <w14:textFill>
            <w14:solidFill>
              <w14:schemeClr w14:val="accent5"/>
            </w14:solidFill>
          </w14:textFill>
        </w:rPr>
        <w:fldChar w:fldCharType="separate"/>
      </w:r>
      <w:r>
        <w:rPr>
          <w:rFonts w:hint="eastAsia" w:ascii="仿宋" w:hAnsi="仿宋" w:eastAsia="仿宋" w:cs="仿宋"/>
          <w:color w:val="4472C4" w:themeColor="accent5"/>
          <w:kern w:val="0"/>
          <w:sz w:val="21"/>
          <w:szCs w:val="21"/>
          <w:lang w:val="en-US" w:eastAsia="zh-CN"/>
          <w14:textFill>
            <w14:solidFill>
              <w14:schemeClr w14:val="accent5"/>
            </w14:solidFill>
          </w14:textFill>
        </w:rPr>
        <w:t>《网络竞价承诺函》</w:t>
      </w:r>
      <w:r>
        <w:rPr>
          <w:rFonts w:hint="default" w:ascii="仿宋" w:hAnsi="仿宋" w:eastAsia="仿宋" w:cs="仿宋"/>
          <w:color w:val="4472C4" w:themeColor="accent5"/>
          <w:kern w:val="0"/>
          <w:sz w:val="21"/>
          <w:szCs w:val="21"/>
          <w:lang w:val="en-US" w:eastAsia="zh-CN"/>
          <w14:textFill>
            <w14:solidFill>
              <w14:schemeClr w14:val="accent5"/>
            </w14:solidFill>
          </w14:textFill>
        </w:rPr>
        <w:t xml:space="preserve"> </w:t>
      </w:r>
      <w:r>
        <w:rPr>
          <w:rFonts w:hint="default" w:ascii="仿宋" w:hAnsi="仿宋" w:eastAsia="仿宋" w:cs="仿宋"/>
          <w:color w:val="4472C4" w:themeColor="accent5"/>
          <w:kern w:val="0"/>
          <w:sz w:val="21"/>
          <w:szCs w:val="21"/>
          <w:lang w:val="en-US" w:eastAsia="zh-CN"/>
          <w14:textFill>
            <w14:solidFill>
              <w14:schemeClr w14:val="accent5"/>
            </w14:solidFill>
          </w14:textFill>
        </w:rPr>
        <w:fldChar w:fldCharType="end"/>
      </w:r>
      <w:r>
        <w:rPr>
          <w:rFonts w:hint="eastAsia" w:ascii="仿宋" w:hAnsi="仿宋" w:eastAsia="仿宋" w:cs="仿宋"/>
          <w:color w:val="4472C4" w:themeColor="accent5"/>
          <w:kern w:val="0"/>
          <w:sz w:val="21"/>
          <w:szCs w:val="21"/>
          <w:lang w:val="en-US" w:eastAsia="zh-CN"/>
          <w14:textFill>
            <w14:solidFill>
              <w14:schemeClr w14:val="accent5"/>
            </w14:solidFill>
          </w14:textFill>
        </w:rPr>
        <w:t>《资产受让网络竞价须知》</w:t>
      </w:r>
      <w:r>
        <w:rPr>
          <w:rFonts w:hint="default" w:ascii="仿宋" w:hAnsi="仿宋" w:eastAsia="仿宋" w:cs="仿宋"/>
          <w:color w:val="4472C4" w:themeColor="accent5"/>
          <w:kern w:val="0"/>
          <w:sz w:val="21"/>
          <w:szCs w:val="21"/>
          <w:lang w:val="en-US" w:eastAsia="zh-CN"/>
          <w14:textFill>
            <w14:solidFill>
              <w14:schemeClr w14:val="accent5"/>
            </w14:solidFill>
          </w14:textFill>
        </w:rPr>
        <w:t xml:space="preserve"> </w:t>
      </w:r>
      <w:r>
        <w:rPr>
          <w:rFonts w:hint="eastAsia" w:ascii="仿宋" w:hAnsi="仿宋" w:eastAsia="仿宋" w:cs="仿宋"/>
          <w:color w:val="4472C4" w:themeColor="accent5"/>
          <w:kern w:val="0"/>
          <w:sz w:val="21"/>
          <w:szCs w:val="21"/>
          <w:lang w:val="en-US" w:eastAsia="zh-CN"/>
          <w14:textFill>
            <w14:solidFill>
              <w14:schemeClr w14:val="accent5"/>
            </w14:solidFill>
          </w14:textFill>
        </w:rPr>
        <w:t>及项目公告等关于保证金处置的内容，自愿报名。</w:t>
      </w:r>
      <w:r>
        <w:rPr>
          <w:rFonts w:hint="eastAsia" w:ascii="仿宋" w:hAnsi="仿宋" w:eastAsia="仿宋" w:cs="仿宋"/>
          <w:color w:val="4472C4" w:themeColor="accent5"/>
          <w:kern w:val="0"/>
          <w:sz w:val="21"/>
          <w:szCs w:val="21"/>
          <w14:textFill>
            <w14:solidFill>
              <w14:schemeClr w14:val="accent5"/>
            </w14:solidFill>
          </w14:textFill>
        </w:rPr>
        <w:t>在挂牌公告期间已自行对标的资产进行了全面了解，一经递交受让申请并交纳交易保证金后，即表明理解并接受本次资产转让的所有内容及程序，完全了解与认可转让标的状况以及存在的瑕疵等一切内容，并自行承担受让标的所带来的一切风险和后果；成为最终受让方后</w:t>
      </w:r>
      <w:r>
        <w:rPr>
          <w:rFonts w:hint="eastAsia" w:ascii="仿宋" w:hAnsi="仿宋" w:eastAsia="仿宋" w:cs="仿宋"/>
          <w:color w:val="4472C4" w:themeColor="accent5"/>
          <w:kern w:val="0"/>
          <w:sz w:val="21"/>
          <w:szCs w:val="21"/>
          <w:lang w:eastAsia="zh-CN"/>
          <w14:textFill>
            <w14:solidFill>
              <w14:schemeClr w14:val="accent5"/>
            </w14:solidFill>
          </w14:textFill>
        </w:rPr>
        <w:t>，</w:t>
      </w:r>
      <w:r>
        <w:rPr>
          <w:rFonts w:hint="eastAsia" w:ascii="仿宋" w:hAnsi="仿宋" w:eastAsia="仿宋" w:cs="仿宋"/>
          <w:color w:val="4472C4" w:themeColor="accent5"/>
          <w:kern w:val="0"/>
          <w:sz w:val="21"/>
          <w:szCs w:val="21"/>
          <w:lang w:val="en-US" w:eastAsia="zh-CN"/>
          <w14:textFill>
            <w14:solidFill>
              <w14:schemeClr w14:val="accent5"/>
            </w14:solidFill>
          </w14:textFill>
        </w:rPr>
        <w:t>本公司</w:t>
      </w:r>
      <w:r>
        <w:rPr>
          <w:rFonts w:hint="eastAsia" w:ascii="仿宋" w:hAnsi="仿宋" w:eastAsia="仿宋" w:cs="仿宋"/>
          <w:color w:val="4472C4" w:themeColor="accent5"/>
          <w:kern w:val="0"/>
          <w:sz w:val="21"/>
          <w:szCs w:val="21"/>
          <w14:textFill>
            <w14:solidFill>
              <w14:schemeClr w14:val="accent5"/>
            </w14:solidFill>
          </w14:textFill>
        </w:rPr>
        <w:t>不得以不了解转让标的为由退还转让标的，否则将视为违约；非因转让方原因所引发的风险因素，由我方自行承担。</w:t>
      </w:r>
    </w:p>
    <w:p w14:paraId="190F151D">
      <w:pPr>
        <w:keepNext w:val="0"/>
        <w:keepLines w:val="0"/>
        <w:pageBreakBefore w:val="0"/>
        <w:widowControl/>
        <w:kinsoku/>
        <w:wordWrap/>
        <w:overflowPunct/>
        <w:topLinePunct w:val="0"/>
        <w:autoSpaceDE/>
        <w:autoSpaceDN/>
        <w:bidi w:val="0"/>
        <w:adjustRightInd w:val="0"/>
        <w:snapToGrid w:val="0"/>
        <w:spacing w:line="440" w:lineRule="exact"/>
        <w:ind w:right="-187" w:rightChars="-89"/>
        <w:jc w:val="left"/>
        <w:textAlignment w:val="auto"/>
        <w:rPr>
          <w:rFonts w:hint="eastAsia" w:ascii="仿宋" w:hAnsi="仿宋" w:eastAsia="仿宋" w:cs="仿宋"/>
          <w:color w:val="0D0D0D" w:themeColor="text1" w:themeTint="F2"/>
          <w:kern w:val="0"/>
          <w:sz w:val="21"/>
          <w:szCs w:val="21"/>
          <w:lang w:val="en-US" w:eastAsia="zh-CN"/>
          <w14:textFill>
            <w14:solidFill>
              <w14:schemeClr w14:val="tx1">
                <w14:lumMod w14:val="95000"/>
                <w14:lumOff w14:val="5000"/>
              </w14:schemeClr>
            </w14:solidFill>
          </w14:textFill>
        </w:rPr>
      </w:pPr>
    </w:p>
    <w:p w14:paraId="5DD97C50">
      <w:pPr>
        <w:keepNext w:val="0"/>
        <w:keepLines w:val="0"/>
        <w:pageBreakBefore w:val="0"/>
        <w:widowControl/>
        <w:kinsoku/>
        <w:wordWrap/>
        <w:overflowPunct/>
        <w:topLinePunct w:val="0"/>
        <w:autoSpaceDE/>
        <w:autoSpaceDN/>
        <w:bidi w:val="0"/>
        <w:adjustRightInd w:val="0"/>
        <w:snapToGrid w:val="0"/>
        <w:spacing w:line="440" w:lineRule="exact"/>
        <w:ind w:left="596" w:leftChars="284" w:right="-187" w:rightChars="-89" w:firstLine="0" w:firstLineChars="0"/>
        <w:jc w:val="center"/>
        <w:textAlignment w:val="auto"/>
        <w:rPr>
          <w:rFonts w:hint="eastAsia" w:ascii="仿宋" w:hAnsi="仿宋" w:eastAsia="仿宋" w:cs="仿宋"/>
          <w:color w:val="0D0D0D" w:themeColor="text1" w:themeTint="F2"/>
          <w:kern w:val="0"/>
          <w:sz w:val="21"/>
          <w:szCs w:val="21"/>
          <w:lang w:val="en-US" w:eastAsia="zh-CN"/>
          <w14:textFill>
            <w14:solidFill>
              <w14:schemeClr w14:val="tx1">
                <w14:lumMod w14:val="95000"/>
                <w14:lumOff w14:val="5000"/>
              </w14:schemeClr>
            </w14:solidFill>
          </w14:textFill>
        </w:rPr>
      </w:pPr>
      <w:r>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t>承诺</w:t>
      </w:r>
      <w:r>
        <w:rPr>
          <w:rFonts w:hint="eastAsia" w:ascii="仿宋" w:hAnsi="仿宋" w:eastAsia="仿宋" w:cs="仿宋"/>
          <w:color w:val="0D0D0D" w:themeColor="text1" w:themeTint="F2"/>
          <w:kern w:val="0"/>
          <w:sz w:val="21"/>
          <w:szCs w:val="21"/>
          <w:lang w:val="en-US" w:eastAsia="zh-CN"/>
          <w14:textFill>
            <w14:solidFill>
              <w14:schemeClr w14:val="tx1">
                <w14:lumMod w14:val="95000"/>
                <w14:lumOff w14:val="5000"/>
              </w14:schemeClr>
            </w14:solidFill>
          </w14:textFill>
        </w:rPr>
        <w:t>方：</w:t>
      </w:r>
    </w:p>
    <w:p w14:paraId="34B6E929">
      <w:pPr>
        <w:keepNext w:val="0"/>
        <w:keepLines w:val="0"/>
        <w:pageBreakBefore w:val="0"/>
        <w:widowControl/>
        <w:kinsoku/>
        <w:wordWrap/>
        <w:overflowPunct/>
        <w:topLinePunct w:val="0"/>
        <w:autoSpaceDE/>
        <w:autoSpaceDN/>
        <w:bidi w:val="0"/>
        <w:adjustRightInd w:val="0"/>
        <w:snapToGrid w:val="0"/>
        <w:spacing w:line="440" w:lineRule="exact"/>
        <w:ind w:right="-187" w:rightChars="-89" w:firstLine="420" w:firstLineChars="200"/>
        <w:jc w:val="center"/>
        <w:textAlignment w:val="auto"/>
        <w:rPr>
          <w:rFonts w:hint="eastAsia"/>
          <w:b/>
          <w:sz w:val="32"/>
          <w:szCs w:val="32"/>
        </w:rPr>
      </w:pPr>
      <w:r>
        <w:rPr>
          <w:rFonts w:hint="eastAsia" w:ascii="仿宋" w:hAnsi="仿宋" w:eastAsia="仿宋" w:cs="仿宋"/>
          <w:color w:val="0D0D0D" w:themeColor="text1" w:themeTint="F2"/>
          <w:kern w:val="0"/>
          <w:sz w:val="21"/>
          <w:szCs w:val="21"/>
          <w:lang w:val="en-US" w:eastAsia="zh-CN"/>
          <w14:textFill>
            <w14:solidFill>
              <w14:schemeClr w14:val="tx1">
                <w14:lumMod w14:val="95000"/>
                <w14:lumOff w14:val="5000"/>
              </w14:schemeClr>
            </w14:solidFill>
          </w14:textFill>
        </w:rPr>
        <w:t xml:space="preserve">    </w:t>
      </w:r>
      <w:r>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t>年</w:t>
      </w:r>
      <w:r>
        <w:rPr>
          <w:rFonts w:hint="eastAsia" w:ascii="仿宋" w:hAnsi="仿宋" w:eastAsia="仿宋" w:cs="仿宋"/>
          <w:color w:val="0D0D0D" w:themeColor="text1" w:themeTint="F2"/>
          <w:kern w:val="0"/>
          <w:sz w:val="21"/>
          <w:szCs w:val="21"/>
          <w:lang w:val="en-US" w:eastAsia="zh-CN"/>
          <w14:textFill>
            <w14:solidFill>
              <w14:schemeClr w14:val="tx1">
                <w14:lumMod w14:val="95000"/>
                <w14:lumOff w14:val="5000"/>
              </w14:schemeClr>
            </w14:solidFill>
          </w14:textFill>
        </w:rPr>
        <w:t xml:space="preserve">    </w:t>
      </w:r>
      <w:r>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t>月</w:t>
      </w:r>
      <w:r>
        <w:rPr>
          <w:rFonts w:hint="eastAsia" w:ascii="仿宋" w:hAnsi="仿宋" w:eastAsia="仿宋" w:cs="仿宋"/>
          <w:color w:val="0D0D0D" w:themeColor="text1" w:themeTint="F2"/>
          <w:kern w:val="0"/>
          <w:sz w:val="21"/>
          <w:szCs w:val="21"/>
          <w:lang w:val="en-US" w:eastAsia="zh-CN"/>
          <w14:textFill>
            <w14:solidFill>
              <w14:schemeClr w14:val="tx1">
                <w14:lumMod w14:val="95000"/>
                <w14:lumOff w14:val="5000"/>
              </w14:schemeClr>
            </w14:solidFill>
          </w14:textFill>
        </w:rPr>
        <w:t xml:space="preserve">   </w:t>
      </w:r>
      <w:r>
        <w:rPr>
          <w:rFonts w:hint="eastAsia" w:ascii="仿宋" w:hAnsi="仿宋" w:eastAsia="仿宋" w:cs="仿宋"/>
          <w:color w:val="0D0D0D" w:themeColor="text1" w:themeTint="F2"/>
          <w:kern w:val="0"/>
          <w:sz w:val="21"/>
          <w:szCs w:val="21"/>
          <w14:textFill>
            <w14:solidFill>
              <w14:schemeClr w14:val="tx1">
                <w14:lumMod w14:val="95000"/>
                <w14:lumOff w14:val="5000"/>
              </w14:schemeClr>
            </w14:solidFill>
          </w14:textFill>
        </w:rPr>
        <w:t>日</w:t>
      </w:r>
    </w:p>
    <w:p w14:paraId="2728A253">
      <w:pPr>
        <w:pStyle w:val="13"/>
        <w:keepNext w:val="0"/>
        <w:keepLines w:val="0"/>
        <w:pageBreakBefore w:val="0"/>
        <w:kinsoku/>
        <w:wordWrap/>
        <w:overflowPunct/>
        <w:topLinePunct w:val="0"/>
        <w:autoSpaceDE/>
        <w:autoSpaceDN/>
        <w:bidi w:val="0"/>
        <w:spacing w:line="440" w:lineRule="exact"/>
        <w:rPr>
          <w:rFonts w:hint="eastAsia" w:ascii="宋体" w:hAnsi="宋体" w:eastAsiaTheme="minorEastAsia" w:cstheme="minorBidi"/>
          <w:bCs/>
          <w:kern w:val="2"/>
          <w:sz w:val="21"/>
          <w:szCs w:val="18"/>
          <w:lang w:val="en-US" w:eastAsia="zh-CN" w:bidi="ar-SA"/>
        </w:rPr>
      </w:pPr>
    </w:p>
    <w:p w14:paraId="64D3EB59">
      <w:pPr>
        <w:keepNext w:val="0"/>
        <w:keepLines w:val="0"/>
        <w:pageBreakBefore w:val="0"/>
        <w:widowControl/>
        <w:kinsoku/>
        <w:wordWrap/>
        <w:overflowPunct/>
        <w:topLinePunct w:val="0"/>
        <w:autoSpaceDE/>
        <w:autoSpaceDN/>
        <w:bidi w:val="0"/>
        <w:adjustRightInd w:val="0"/>
        <w:snapToGrid w:val="0"/>
        <w:spacing w:line="560" w:lineRule="exact"/>
        <w:ind w:right="-187" w:rightChars="-89"/>
        <w:jc w:val="both"/>
        <w:textAlignment w:val="auto"/>
        <w:rPr>
          <w:rFonts w:hint="eastAsia" w:ascii="仿宋" w:hAnsi="仿宋" w:eastAsia="仿宋" w:cs="仿宋"/>
          <w:color w:val="0D0D0D" w:themeColor="text1" w:themeTint="F2"/>
          <w:kern w:val="0"/>
          <w:sz w:val="21"/>
          <w:szCs w:val="21"/>
          <w:lang w:val="en-US" w:eastAsia="zh-CN"/>
          <w14:textFill>
            <w14:solidFill>
              <w14:schemeClr w14:val="tx1">
                <w14:lumMod w14:val="95000"/>
                <w14:lumOff w14:val="5000"/>
              </w14:schemeClr>
            </w14:solidFill>
          </w14:textFill>
        </w:rPr>
      </w:pPr>
    </w:p>
    <w:sectPr>
      <w:headerReference r:id="rId3" w:type="default"/>
      <w:footerReference r:id="rId4"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4183607"/>
    </w:sdtPr>
    <w:sdtContent>
      <w:p w14:paraId="13F5B0CF">
        <w:pPr>
          <w:pStyle w:val="5"/>
          <w:jc w:val="center"/>
        </w:pPr>
        <w:r>
          <w:rPr>
            <w:rFonts w:hint="eastAsia"/>
          </w:rPr>
          <w:fldChar w:fldCharType="begin"/>
        </w:r>
        <w:r>
          <w:instrText xml:space="preserve">PAGE   \* MERGEFORMAT</w:instrText>
        </w:r>
        <w:r>
          <w:rPr>
            <w:rFonts w:hint="eastAsia"/>
          </w:rPr>
          <w:fldChar w:fldCharType="separate"/>
        </w:r>
        <w:r>
          <w:rPr>
            <w:lang w:val="zh-CN"/>
          </w:rPr>
          <w:t>1</w:t>
        </w:r>
        <w:r>
          <w:rPr>
            <w:rFonts w:hint="eastAsia"/>
            <w:lang w:val="zh-CN"/>
          </w:rPr>
          <w:fldChar w:fldCharType="end"/>
        </w:r>
      </w:p>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05960635"/>
      <w:showingPlcHdr/>
    </w:sdtPr>
    <w:sdtContent>
      <w:p w14:paraId="22416DE6">
        <w:pPr>
          <w:pStyle w:val="6"/>
        </w:pPr>
        <w:r>
          <w:t xml:space="preserve">     </w:t>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U0YWFjN2EyZTk2N2MwMGY1MTc3Njk4ZmQwYjY3MjUifQ=="/>
  </w:docVars>
  <w:rsids>
    <w:rsidRoot w:val="798527FB"/>
    <w:rsid w:val="00052E4D"/>
    <w:rsid w:val="000777FA"/>
    <w:rsid w:val="0008057E"/>
    <w:rsid w:val="00084BD4"/>
    <w:rsid w:val="000C7BEA"/>
    <w:rsid w:val="000D7D18"/>
    <w:rsid w:val="00124235"/>
    <w:rsid w:val="00164F75"/>
    <w:rsid w:val="001668E0"/>
    <w:rsid w:val="00213C65"/>
    <w:rsid w:val="00220E8E"/>
    <w:rsid w:val="0023780B"/>
    <w:rsid w:val="00276D67"/>
    <w:rsid w:val="002B1AD7"/>
    <w:rsid w:val="00336806"/>
    <w:rsid w:val="00395381"/>
    <w:rsid w:val="003B0EA7"/>
    <w:rsid w:val="003C08A1"/>
    <w:rsid w:val="004030CB"/>
    <w:rsid w:val="004302FB"/>
    <w:rsid w:val="00447434"/>
    <w:rsid w:val="00480148"/>
    <w:rsid w:val="004A3148"/>
    <w:rsid w:val="004D304B"/>
    <w:rsid w:val="00550E1B"/>
    <w:rsid w:val="00550F13"/>
    <w:rsid w:val="00577C37"/>
    <w:rsid w:val="00615C32"/>
    <w:rsid w:val="0066706A"/>
    <w:rsid w:val="00701294"/>
    <w:rsid w:val="00706C84"/>
    <w:rsid w:val="00725CA9"/>
    <w:rsid w:val="00733E87"/>
    <w:rsid w:val="00751086"/>
    <w:rsid w:val="007B56DC"/>
    <w:rsid w:val="00834136"/>
    <w:rsid w:val="00861DDA"/>
    <w:rsid w:val="00861F4D"/>
    <w:rsid w:val="008D16A1"/>
    <w:rsid w:val="00934239"/>
    <w:rsid w:val="009368FE"/>
    <w:rsid w:val="00971454"/>
    <w:rsid w:val="009A0DEC"/>
    <w:rsid w:val="009A6C5B"/>
    <w:rsid w:val="009B5359"/>
    <w:rsid w:val="009C4CD8"/>
    <w:rsid w:val="00A02832"/>
    <w:rsid w:val="00A30044"/>
    <w:rsid w:val="00A5275B"/>
    <w:rsid w:val="00A71192"/>
    <w:rsid w:val="00A81F7A"/>
    <w:rsid w:val="00B037BA"/>
    <w:rsid w:val="00B07A6D"/>
    <w:rsid w:val="00B23097"/>
    <w:rsid w:val="00BA5163"/>
    <w:rsid w:val="00C66AB0"/>
    <w:rsid w:val="00D01259"/>
    <w:rsid w:val="00D135B9"/>
    <w:rsid w:val="00D24FF0"/>
    <w:rsid w:val="00D4716A"/>
    <w:rsid w:val="00D868A0"/>
    <w:rsid w:val="00E322C6"/>
    <w:rsid w:val="00EA0C79"/>
    <w:rsid w:val="00EA5576"/>
    <w:rsid w:val="00EF3B91"/>
    <w:rsid w:val="00F609C4"/>
    <w:rsid w:val="00F7345D"/>
    <w:rsid w:val="00F740C8"/>
    <w:rsid w:val="00FA34BE"/>
    <w:rsid w:val="00FC5A80"/>
    <w:rsid w:val="017845F9"/>
    <w:rsid w:val="01D13D63"/>
    <w:rsid w:val="01E55632"/>
    <w:rsid w:val="02C95F7F"/>
    <w:rsid w:val="03555A65"/>
    <w:rsid w:val="03870314"/>
    <w:rsid w:val="03A013D6"/>
    <w:rsid w:val="04B26178"/>
    <w:rsid w:val="053B7608"/>
    <w:rsid w:val="05591CE2"/>
    <w:rsid w:val="05EA6938"/>
    <w:rsid w:val="062E120B"/>
    <w:rsid w:val="06FC0635"/>
    <w:rsid w:val="0701666C"/>
    <w:rsid w:val="0707474A"/>
    <w:rsid w:val="07536A57"/>
    <w:rsid w:val="07C12EEC"/>
    <w:rsid w:val="07C1356B"/>
    <w:rsid w:val="08183C31"/>
    <w:rsid w:val="0828199A"/>
    <w:rsid w:val="08332819"/>
    <w:rsid w:val="08832ECD"/>
    <w:rsid w:val="08D41590"/>
    <w:rsid w:val="09347D7B"/>
    <w:rsid w:val="0A0B50CF"/>
    <w:rsid w:val="0B2C17A1"/>
    <w:rsid w:val="0BA94BA0"/>
    <w:rsid w:val="0BD0037E"/>
    <w:rsid w:val="0CBD4DA7"/>
    <w:rsid w:val="0E867EAE"/>
    <w:rsid w:val="0EF32600"/>
    <w:rsid w:val="0F0547E3"/>
    <w:rsid w:val="0FB805E7"/>
    <w:rsid w:val="10507CE0"/>
    <w:rsid w:val="11036B00"/>
    <w:rsid w:val="112453F4"/>
    <w:rsid w:val="122338FE"/>
    <w:rsid w:val="123D2CC6"/>
    <w:rsid w:val="12A61E3C"/>
    <w:rsid w:val="130A492E"/>
    <w:rsid w:val="137302DB"/>
    <w:rsid w:val="146B333A"/>
    <w:rsid w:val="14934FBB"/>
    <w:rsid w:val="14D051A9"/>
    <w:rsid w:val="15202377"/>
    <w:rsid w:val="155B614D"/>
    <w:rsid w:val="15666C0D"/>
    <w:rsid w:val="159F0B9E"/>
    <w:rsid w:val="15C56A7A"/>
    <w:rsid w:val="16210EA7"/>
    <w:rsid w:val="168D57EA"/>
    <w:rsid w:val="16BA1439"/>
    <w:rsid w:val="16C60CFC"/>
    <w:rsid w:val="17154306"/>
    <w:rsid w:val="176163F6"/>
    <w:rsid w:val="17710C68"/>
    <w:rsid w:val="18DC553E"/>
    <w:rsid w:val="18DD40DB"/>
    <w:rsid w:val="19D02FD9"/>
    <w:rsid w:val="19D904F0"/>
    <w:rsid w:val="19FF69FF"/>
    <w:rsid w:val="1A1B7BCA"/>
    <w:rsid w:val="1A2A15A2"/>
    <w:rsid w:val="1AD02149"/>
    <w:rsid w:val="1BC03A64"/>
    <w:rsid w:val="1C512585"/>
    <w:rsid w:val="1CE26164"/>
    <w:rsid w:val="1CF047B3"/>
    <w:rsid w:val="1D1C0F5D"/>
    <w:rsid w:val="1D35634E"/>
    <w:rsid w:val="1D5A219E"/>
    <w:rsid w:val="1D736C4D"/>
    <w:rsid w:val="1E1E4F79"/>
    <w:rsid w:val="1E243AF8"/>
    <w:rsid w:val="1EE3608A"/>
    <w:rsid w:val="1F127F6C"/>
    <w:rsid w:val="1F5E41C7"/>
    <w:rsid w:val="1FAD2609"/>
    <w:rsid w:val="1FB96F1B"/>
    <w:rsid w:val="20E45861"/>
    <w:rsid w:val="219263AA"/>
    <w:rsid w:val="21D53DB9"/>
    <w:rsid w:val="22472CF3"/>
    <w:rsid w:val="23782B51"/>
    <w:rsid w:val="23AB3753"/>
    <w:rsid w:val="242A63D4"/>
    <w:rsid w:val="248646B9"/>
    <w:rsid w:val="24A62F7F"/>
    <w:rsid w:val="24BC54EC"/>
    <w:rsid w:val="257302A1"/>
    <w:rsid w:val="26A213C4"/>
    <w:rsid w:val="27AE56CC"/>
    <w:rsid w:val="27B70919"/>
    <w:rsid w:val="27BF5596"/>
    <w:rsid w:val="28163F09"/>
    <w:rsid w:val="289301FE"/>
    <w:rsid w:val="28A93F25"/>
    <w:rsid w:val="28FB65E3"/>
    <w:rsid w:val="291E0523"/>
    <w:rsid w:val="29915199"/>
    <w:rsid w:val="29A547A1"/>
    <w:rsid w:val="29B515C6"/>
    <w:rsid w:val="29C8489D"/>
    <w:rsid w:val="2A48098D"/>
    <w:rsid w:val="2A867842"/>
    <w:rsid w:val="2AE53238"/>
    <w:rsid w:val="2B30453E"/>
    <w:rsid w:val="2C103359"/>
    <w:rsid w:val="2C1E3C6A"/>
    <w:rsid w:val="2C3A3CC5"/>
    <w:rsid w:val="2C575420"/>
    <w:rsid w:val="2CF46797"/>
    <w:rsid w:val="2D626F10"/>
    <w:rsid w:val="2DAB7177"/>
    <w:rsid w:val="2DCF1E3F"/>
    <w:rsid w:val="2DFB52D7"/>
    <w:rsid w:val="2E1115C1"/>
    <w:rsid w:val="2E2838A8"/>
    <w:rsid w:val="2E450134"/>
    <w:rsid w:val="2E55345E"/>
    <w:rsid w:val="2EAB2859"/>
    <w:rsid w:val="2FC02334"/>
    <w:rsid w:val="30A13F14"/>
    <w:rsid w:val="320A41F6"/>
    <w:rsid w:val="327E09D6"/>
    <w:rsid w:val="35405015"/>
    <w:rsid w:val="35D47BFC"/>
    <w:rsid w:val="365A755A"/>
    <w:rsid w:val="374A4EE7"/>
    <w:rsid w:val="375717D0"/>
    <w:rsid w:val="37CB1876"/>
    <w:rsid w:val="38653434"/>
    <w:rsid w:val="39965EB4"/>
    <w:rsid w:val="39BD1836"/>
    <w:rsid w:val="39D6559D"/>
    <w:rsid w:val="39EB6200"/>
    <w:rsid w:val="3AA651BA"/>
    <w:rsid w:val="3AD14E03"/>
    <w:rsid w:val="3B4B668C"/>
    <w:rsid w:val="3B950B19"/>
    <w:rsid w:val="3BA1126C"/>
    <w:rsid w:val="3BEC505C"/>
    <w:rsid w:val="3C684D7B"/>
    <w:rsid w:val="3CBE698B"/>
    <w:rsid w:val="3D9D3CB5"/>
    <w:rsid w:val="3E5D51F2"/>
    <w:rsid w:val="3E686955"/>
    <w:rsid w:val="3E7F160D"/>
    <w:rsid w:val="3EB04D2E"/>
    <w:rsid w:val="3F0F2990"/>
    <w:rsid w:val="3F9B024A"/>
    <w:rsid w:val="40436D96"/>
    <w:rsid w:val="404A6C97"/>
    <w:rsid w:val="40744734"/>
    <w:rsid w:val="42BC0410"/>
    <w:rsid w:val="42BC4BDD"/>
    <w:rsid w:val="42DA5063"/>
    <w:rsid w:val="436766A8"/>
    <w:rsid w:val="43911BC6"/>
    <w:rsid w:val="43990723"/>
    <w:rsid w:val="44017995"/>
    <w:rsid w:val="441F4203"/>
    <w:rsid w:val="447A7CAF"/>
    <w:rsid w:val="44AF49B5"/>
    <w:rsid w:val="44DD7429"/>
    <w:rsid w:val="45E72361"/>
    <w:rsid w:val="463B0CD6"/>
    <w:rsid w:val="46496788"/>
    <w:rsid w:val="46525967"/>
    <w:rsid w:val="4690053B"/>
    <w:rsid w:val="472669A6"/>
    <w:rsid w:val="47490A0A"/>
    <w:rsid w:val="48167A6F"/>
    <w:rsid w:val="48200A54"/>
    <w:rsid w:val="487D6BBD"/>
    <w:rsid w:val="488717E9"/>
    <w:rsid w:val="48E704DA"/>
    <w:rsid w:val="49550694"/>
    <w:rsid w:val="4988403C"/>
    <w:rsid w:val="4A2B43F6"/>
    <w:rsid w:val="4A477482"/>
    <w:rsid w:val="4A656098"/>
    <w:rsid w:val="4AAC45D8"/>
    <w:rsid w:val="4B273686"/>
    <w:rsid w:val="4B3B1C4E"/>
    <w:rsid w:val="4C15710C"/>
    <w:rsid w:val="4CA76328"/>
    <w:rsid w:val="4D3B2BA3"/>
    <w:rsid w:val="4D3E5B6A"/>
    <w:rsid w:val="4D70341E"/>
    <w:rsid w:val="4DDA685F"/>
    <w:rsid w:val="4E092AFD"/>
    <w:rsid w:val="4E0D2791"/>
    <w:rsid w:val="4ECF5C98"/>
    <w:rsid w:val="4EF75A83"/>
    <w:rsid w:val="4F2935FA"/>
    <w:rsid w:val="4F495BF1"/>
    <w:rsid w:val="4F876295"/>
    <w:rsid w:val="4FBA04BC"/>
    <w:rsid w:val="508D32A1"/>
    <w:rsid w:val="50E52325"/>
    <w:rsid w:val="50FE2865"/>
    <w:rsid w:val="51234079"/>
    <w:rsid w:val="51532BB1"/>
    <w:rsid w:val="522B3974"/>
    <w:rsid w:val="52AF2069"/>
    <w:rsid w:val="5450775A"/>
    <w:rsid w:val="54A0435F"/>
    <w:rsid w:val="55204C6D"/>
    <w:rsid w:val="55846FDD"/>
    <w:rsid w:val="55FD1275"/>
    <w:rsid w:val="57753A83"/>
    <w:rsid w:val="57F10A2D"/>
    <w:rsid w:val="57F209EF"/>
    <w:rsid w:val="587A6FF9"/>
    <w:rsid w:val="58E00924"/>
    <w:rsid w:val="58FF247F"/>
    <w:rsid w:val="598D401B"/>
    <w:rsid w:val="5AAE385C"/>
    <w:rsid w:val="5BA83AF9"/>
    <w:rsid w:val="5C9242E7"/>
    <w:rsid w:val="5CAC7619"/>
    <w:rsid w:val="5D7A3273"/>
    <w:rsid w:val="5DA66E34"/>
    <w:rsid w:val="5DEB5F1F"/>
    <w:rsid w:val="5E2F764F"/>
    <w:rsid w:val="5E8178D4"/>
    <w:rsid w:val="5F7E529D"/>
    <w:rsid w:val="5FFD636B"/>
    <w:rsid w:val="5FFE462F"/>
    <w:rsid w:val="601B6F8F"/>
    <w:rsid w:val="60A32AE1"/>
    <w:rsid w:val="61732208"/>
    <w:rsid w:val="62210161"/>
    <w:rsid w:val="62614A02"/>
    <w:rsid w:val="62736998"/>
    <w:rsid w:val="638F2CD6"/>
    <w:rsid w:val="64A77A66"/>
    <w:rsid w:val="670247F8"/>
    <w:rsid w:val="68555008"/>
    <w:rsid w:val="685A03B0"/>
    <w:rsid w:val="687A05CB"/>
    <w:rsid w:val="68A815DC"/>
    <w:rsid w:val="6949691B"/>
    <w:rsid w:val="69B90BF3"/>
    <w:rsid w:val="69E82B0F"/>
    <w:rsid w:val="6B5432EA"/>
    <w:rsid w:val="6BAC3191"/>
    <w:rsid w:val="6BD61FBC"/>
    <w:rsid w:val="6C184383"/>
    <w:rsid w:val="6C313697"/>
    <w:rsid w:val="6C6D2DDD"/>
    <w:rsid w:val="6CBA7B30"/>
    <w:rsid w:val="6CE16E6B"/>
    <w:rsid w:val="6CF23B14"/>
    <w:rsid w:val="6D237483"/>
    <w:rsid w:val="6D745F31"/>
    <w:rsid w:val="6D9E2FAE"/>
    <w:rsid w:val="6E254F3D"/>
    <w:rsid w:val="6EC825CE"/>
    <w:rsid w:val="6EE64C0C"/>
    <w:rsid w:val="6F051991"/>
    <w:rsid w:val="6F59718C"/>
    <w:rsid w:val="6F7C57B1"/>
    <w:rsid w:val="6F865AA7"/>
    <w:rsid w:val="6F9D4B02"/>
    <w:rsid w:val="6FFA5BBB"/>
    <w:rsid w:val="708163D8"/>
    <w:rsid w:val="70892F73"/>
    <w:rsid w:val="719C5A56"/>
    <w:rsid w:val="72B61798"/>
    <w:rsid w:val="734631DC"/>
    <w:rsid w:val="73562913"/>
    <w:rsid w:val="738E2D01"/>
    <w:rsid w:val="73D47464"/>
    <w:rsid w:val="74BE4AF6"/>
    <w:rsid w:val="75E8126A"/>
    <w:rsid w:val="76007881"/>
    <w:rsid w:val="766962DF"/>
    <w:rsid w:val="767501BA"/>
    <w:rsid w:val="76944F4E"/>
    <w:rsid w:val="76AD58CB"/>
    <w:rsid w:val="76C711F5"/>
    <w:rsid w:val="7755061C"/>
    <w:rsid w:val="775C4193"/>
    <w:rsid w:val="77661986"/>
    <w:rsid w:val="777B1817"/>
    <w:rsid w:val="77A309EC"/>
    <w:rsid w:val="79586707"/>
    <w:rsid w:val="798527FB"/>
    <w:rsid w:val="79B80F53"/>
    <w:rsid w:val="79FE469C"/>
    <w:rsid w:val="7BCF60AA"/>
    <w:rsid w:val="7BEE66F2"/>
    <w:rsid w:val="7C8021FC"/>
    <w:rsid w:val="7D8F2FBE"/>
    <w:rsid w:val="7DA118C5"/>
    <w:rsid w:val="7DDC0A58"/>
    <w:rsid w:val="7E0B3D48"/>
    <w:rsid w:val="7FB421A3"/>
    <w:rsid w:val="7FCB7E07"/>
    <w:rsid w:val="7FF051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iPriority="99"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15"/>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4"/>
    <w:basedOn w:val="1"/>
    <w:next w:val="1"/>
    <w:semiHidden/>
    <w:unhideWhenUsed/>
    <w:qFormat/>
    <w:uiPriority w:val="0"/>
    <w:pPr>
      <w:spacing w:beforeAutospacing="1" w:afterAutospacing="1"/>
      <w:jc w:val="left"/>
      <w:outlineLvl w:val="3"/>
    </w:pPr>
    <w:rPr>
      <w:rFonts w:hint="eastAsia" w:ascii="宋体" w:hAnsi="宋体" w:eastAsia="宋体" w:cs="Times New Roman"/>
      <w:b/>
      <w:kern w:val="0"/>
      <w:sz w:val="24"/>
      <w:szCs w:val="24"/>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Plain Text"/>
    <w:basedOn w:val="1"/>
    <w:qFormat/>
    <w:uiPriority w:val="0"/>
    <w:rPr>
      <w:rFonts w:ascii="宋体" w:hAnsi="Courier New"/>
      <w:szCs w:val="20"/>
    </w:rPr>
  </w:style>
  <w:style w:type="paragraph" w:styleId="4">
    <w:name w:val="Balloon Text"/>
    <w:basedOn w:val="1"/>
    <w:link w:val="14"/>
    <w:qFormat/>
    <w:uiPriority w:val="0"/>
    <w:rPr>
      <w:sz w:val="18"/>
      <w:szCs w:val="18"/>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7">
    <w:name w:val="HTML Preformatted"/>
    <w:basedOn w:val="1"/>
    <w:semiHidden/>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Times New Roman"/>
      <w:kern w:val="0"/>
      <w:sz w:val="24"/>
      <w:szCs w:val="24"/>
    </w:rPr>
  </w:style>
  <w:style w:type="paragraph" w:styleId="8">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Hyperlink"/>
    <w:basedOn w:val="11"/>
    <w:qFormat/>
    <w:uiPriority w:val="0"/>
    <w:rPr>
      <w:color w:val="0563C1" w:themeColor="hyperlink"/>
      <w:u w:val="single"/>
      <w14:textFill>
        <w14:solidFill>
          <w14:schemeClr w14:val="hlink"/>
        </w14:solidFill>
      </w14:textFill>
    </w:rPr>
  </w:style>
  <w:style w:type="paragraph" w:customStyle="1" w:styleId="13">
    <w:name w:val="Header1"/>
    <w:basedOn w:val="1"/>
    <w:qFormat/>
    <w:uiPriority w:val="99"/>
    <w:pPr>
      <w:pBdr>
        <w:top w:val="none" w:color="000000" w:sz="0" w:space="1"/>
        <w:left w:val="none" w:color="000000" w:sz="0" w:space="4"/>
        <w:bottom w:val="none" w:color="000000" w:sz="0" w:space="1"/>
        <w:right w:val="none" w:color="000000" w:sz="0" w:space="4"/>
      </w:pBdr>
      <w:tabs>
        <w:tab w:val="center" w:pos="4153"/>
        <w:tab w:val="right" w:pos="8306"/>
      </w:tabs>
      <w:snapToGrid w:val="0"/>
    </w:pPr>
    <w:rPr>
      <w:sz w:val="18"/>
      <w:szCs w:val="18"/>
    </w:rPr>
  </w:style>
  <w:style w:type="character" w:customStyle="1" w:styleId="14">
    <w:name w:val="批注框文本 字符"/>
    <w:basedOn w:val="11"/>
    <w:link w:val="4"/>
    <w:qFormat/>
    <w:uiPriority w:val="0"/>
    <w:rPr>
      <w:kern w:val="2"/>
      <w:sz w:val="18"/>
      <w:szCs w:val="18"/>
    </w:rPr>
  </w:style>
  <w:style w:type="character" w:customStyle="1" w:styleId="15">
    <w:name w:val="NormalCharacter"/>
    <w:link w:val="1"/>
    <w:autoRedefine/>
    <w:semiHidden/>
    <w:qFormat/>
    <w:uiPriority w:val="0"/>
    <w:rPr>
      <w:rFonts w:asciiTheme="minorHAnsi" w:hAnsiTheme="minorHAnsi" w:eastAsiaTheme="minorEastAsia" w:cstheme="minorBidi"/>
      <w:kern w:val="2"/>
      <w:sz w:val="21"/>
      <w:szCs w:val="22"/>
      <w:lang w:val="en-US" w:eastAsia="zh-CN" w:bidi="ar-SA"/>
    </w:rPr>
  </w:style>
  <w:style w:type="paragraph" w:customStyle="1" w:styleId="16">
    <w:name w:val="页脚1"/>
    <w:basedOn w:val="1"/>
    <w:autoRedefine/>
    <w:qFormat/>
    <w:uiPriority w:val="0"/>
    <w:pPr>
      <w:tabs>
        <w:tab w:val="center" w:pos="4153"/>
        <w:tab w:val="right" w:pos="8306"/>
      </w:tabs>
      <w:snapToGrid w:val="0"/>
      <w:jc w:val="left"/>
    </w:pPr>
    <w:rPr>
      <w:sz w:val="18"/>
      <w:szCs w:val="18"/>
    </w:rPr>
  </w:style>
  <w:style w:type="character" w:customStyle="1" w:styleId="17">
    <w:name w:val="font31"/>
    <w:basedOn w:val="11"/>
    <w:qFormat/>
    <w:uiPriority w:val="0"/>
    <w:rPr>
      <w:rFonts w:hint="eastAsia" w:ascii="宋体" w:hAnsi="宋体" w:eastAsia="宋体" w:cs="宋体"/>
      <w:color w:val="000000"/>
      <w:sz w:val="20"/>
      <w:szCs w:val="20"/>
      <w:u w:val="none"/>
    </w:rPr>
  </w:style>
  <w:style w:type="character" w:customStyle="1" w:styleId="18">
    <w:name w:val="font21"/>
    <w:basedOn w:val="11"/>
    <w:qFormat/>
    <w:uiPriority w:val="0"/>
    <w:rPr>
      <w:rFonts w:hint="default" w:ascii="Times New Roman" w:hAnsi="Times New Roman" w:cs="Times New Roman"/>
      <w:color w:val="000000"/>
      <w:sz w:val="20"/>
      <w:szCs w:val="20"/>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9</Pages>
  <Words>6237</Words>
  <Characters>6342</Characters>
  <Lines>29</Lines>
  <Paragraphs>8</Paragraphs>
  <TotalTime>3</TotalTime>
  <ScaleCrop>false</ScaleCrop>
  <LinksUpToDate>false</LinksUpToDate>
  <CharactersWithSpaces>6552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2019-11-05T03:55:00Z</dcterms:created>
  <dc:creator>wangxinjie</dc:creator>
  <cp:lastModifiedBy>无忧无虑</cp:lastModifiedBy>
  <cp:lastPrinted>2026-08-10T06:09:00Z</cp:lastPrinted>
  <dcterms:modified xsi:type="dcterms:W3CDTF">2026-10-22T07:52:05Z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B01E1E2D479749B9BD5D08B53A80077E_13</vt:lpwstr>
  </property>
  <property fmtid="{D5CDD505-2E9C-101B-9397-08002B2CF9AE}" pid="4" name="KSOTemplateDocerSaveRecord">
    <vt:lpwstr>eyJoZGlkIjoiZjFiZDM2ZWIwODI1MzIxNWYwZTA0Njk5ODBiOTVjODMiLCJ1c2VySWQiOiI1NzU1MDk3NDkifQ==</vt:lpwstr>
  </property>
</Properties>
</file>